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D5282" w14:textId="06AF4E44" w:rsidR="00557061" w:rsidRPr="0084430E" w:rsidRDefault="00B86178" w:rsidP="00982DBC">
      <w:pPr>
        <w:jc w:val="center"/>
        <w:rPr>
          <w:sz w:val="28"/>
          <w:lang w:val="sr-Cyrl-RS"/>
        </w:rPr>
      </w:pPr>
      <w:bookmarkStart w:id="0" w:name="_GoBack"/>
      <w:bookmarkEnd w:id="0"/>
      <w:r>
        <w:rPr>
          <w:sz w:val="28"/>
          <w:lang w:val="sr-Cyrl-RS"/>
        </w:rPr>
        <w:t>NACRT</w:t>
      </w:r>
      <w:r w:rsidR="00797C1F" w:rsidRPr="0084430E">
        <w:rPr>
          <w:sz w:val="28"/>
          <w:lang w:val="sr-Cyrl-RS"/>
        </w:rPr>
        <w:t xml:space="preserve"> </w:t>
      </w:r>
      <w:r>
        <w:rPr>
          <w:sz w:val="28"/>
          <w:lang w:val="sr-Cyrl-RS"/>
        </w:rPr>
        <w:t>ZAKONA</w:t>
      </w:r>
    </w:p>
    <w:p w14:paraId="39531FAA" w14:textId="5760E560" w:rsidR="008F1216" w:rsidRPr="0084430E" w:rsidRDefault="00B86178" w:rsidP="00C848D9">
      <w:pPr>
        <w:jc w:val="center"/>
        <w:rPr>
          <w:lang w:val="sr-Cyrl-RS"/>
        </w:rPr>
      </w:pP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IZMENAMA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DOPUNAMA</w:t>
      </w:r>
      <w:r w:rsidR="008F1216" w:rsidRPr="0084430E">
        <w:rPr>
          <w:lang w:val="sr-Cyrl-RS"/>
        </w:rPr>
        <w:t xml:space="preserve"> </w:t>
      </w:r>
    </w:p>
    <w:p w14:paraId="44F29FD0" w14:textId="33FB84F7" w:rsidR="008F1216" w:rsidRPr="0084430E" w:rsidRDefault="00B86178" w:rsidP="00C848D9">
      <w:pPr>
        <w:spacing w:after="360"/>
        <w:jc w:val="center"/>
        <w:rPr>
          <w:lang w:val="sr-Cyrl-RS"/>
        </w:rPr>
      </w:pPr>
      <w:r>
        <w:rPr>
          <w:lang w:val="sr-Cyrl-RS"/>
        </w:rPr>
        <w:t>ZAKONA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JEDINSTVENOM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BIRAČKOM</w:t>
      </w:r>
      <w:r w:rsidR="008F1216" w:rsidRPr="0084430E">
        <w:rPr>
          <w:lang w:val="sr-Cyrl-RS"/>
        </w:rPr>
        <w:t xml:space="preserve"> </w:t>
      </w:r>
      <w:r>
        <w:rPr>
          <w:lang w:val="sr-Cyrl-RS"/>
        </w:rPr>
        <w:t>SPISKU</w:t>
      </w:r>
    </w:p>
    <w:p w14:paraId="2AE9CD59" w14:textId="381E936F" w:rsidR="000B161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B1616" w:rsidRPr="0084430E">
        <w:rPr>
          <w:lang w:val="sr-Cyrl-RS"/>
        </w:rPr>
        <w:t xml:space="preserve"> 1.</w:t>
      </w:r>
    </w:p>
    <w:p w14:paraId="6677A08D" w14:textId="05D39328" w:rsidR="000B1616" w:rsidRPr="0084430E" w:rsidRDefault="000B1616" w:rsidP="000B161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 („</w:t>
      </w:r>
      <w:r w:rsidR="00B86178">
        <w:rPr>
          <w:lang w:val="sr-Cyrl-RS"/>
        </w:rPr>
        <w:t>Službeni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RS</w:t>
      </w:r>
      <w:r w:rsidRPr="0084430E">
        <w:rPr>
          <w:lang w:val="sr-Cyrl-RS"/>
        </w:rPr>
        <w:t xml:space="preserve">“, </w:t>
      </w:r>
      <w:r w:rsidR="00B86178">
        <w:rPr>
          <w:lang w:val="sr-Cyrl-RS"/>
        </w:rPr>
        <w:t>br</w:t>
      </w:r>
      <w:r w:rsidRPr="0084430E">
        <w:rPr>
          <w:lang w:val="sr-Cyrl-RS"/>
        </w:rPr>
        <w:t xml:space="preserve">. 104/09, 99/11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44/24),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članu</w:t>
      </w:r>
      <w:r w:rsidRPr="0084430E">
        <w:rPr>
          <w:lang w:val="sr-Cyrl-RS"/>
        </w:rPr>
        <w:t xml:space="preserve"> 4. </w:t>
      </w:r>
      <w:r w:rsidR="00B86178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B86178">
        <w:rPr>
          <w:lang w:val="sr-Cyrl-RS"/>
        </w:rPr>
        <w:t>dodaj</w:t>
      </w:r>
      <w:r w:rsidRPr="0084430E">
        <w:rPr>
          <w:lang w:val="sr-Cyrl-RS"/>
        </w:rPr>
        <w:t xml:space="preserve">e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16573D88" w14:textId="132A0665" w:rsidR="005C6574" w:rsidRPr="0084430E" w:rsidRDefault="000B1616" w:rsidP="00EE3C8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  <w:t>„</w:t>
      </w:r>
      <w:r w:rsidR="00B86178">
        <w:rPr>
          <w:lang w:val="sr-Cyrl-RS"/>
        </w:rPr>
        <w:t>Nakon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donošenja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raspisivanju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birača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već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upisan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prijavi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prebivalište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drugoj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opštini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opštinska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gradska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uprava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nadležna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upisuje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prema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mestu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ako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najkasnije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dan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isteći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prijave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prebivališta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toj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jedinici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="005C6574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732338" w:rsidRPr="0084430E">
        <w:rPr>
          <w:lang w:val="sr-Cyrl-RS"/>
        </w:rPr>
        <w:t xml:space="preserve"> </w:t>
      </w:r>
      <w:r w:rsidR="00B86178">
        <w:rPr>
          <w:lang w:val="sr-Cyrl-RS"/>
        </w:rPr>
        <w:t>gradskoj</w:t>
      </w:r>
      <w:r w:rsidR="005C6574" w:rsidRPr="0084430E">
        <w:rPr>
          <w:lang w:val="sr-Cyrl-RS"/>
        </w:rPr>
        <w:t xml:space="preserve"> </w:t>
      </w:r>
      <w:r w:rsidR="00B86178">
        <w:rPr>
          <w:lang w:val="sr-Cyrl-RS"/>
        </w:rPr>
        <w:t>opštini</w:t>
      </w:r>
      <w:r w:rsidR="005C6574" w:rsidRPr="0084430E">
        <w:rPr>
          <w:lang w:val="sr-Cyrl-RS"/>
        </w:rPr>
        <w:t>.</w:t>
      </w:r>
      <w:r w:rsidR="00523B4D" w:rsidRPr="0084430E">
        <w:rPr>
          <w:lang w:val="sr-Cyrl-RS"/>
        </w:rPr>
        <w:t>“</w:t>
      </w:r>
      <w:r w:rsidR="00315AE5" w:rsidRPr="0084430E">
        <w:rPr>
          <w:lang w:val="sr-Cyrl-RS"/>
        </w:rPr>
        <w:t>.</w:t>
      </w:r>
    </w:p>
    <w:p w14:paraId="2BE04AFF" w14:textId="7BC89A28" w:rsidR="00CB636F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B636F" w:rsidRPr="0084430E">
        <w:rPr>
          <w:lang w:val="sr-Cyrl-RS"/>
        </w:rPr>
        <w:t xml:space="preserve"> </w:t>
      </w:r>
      <w:r w:rsidR="00BC2350" w:rsidRPr="0084430E">
        <w:rPr>
          <w:lang w:val="sr-Cyrl-RS"/>
        </w:rPr>
        <w:t>2</w:t>
      </w:r>
      <w:r w:rsidR="00CB636F" w:rsidRPr="0084430E">
        <w:rPr>
          <w:lang w:val="sr-Cyrl-RS"/>
        </w:rPr>
        <w:t>.</w:t>
      </w:r>
    </w:p>
    <w:p w14:paraId="56A9E224" w14:textId="164AABBE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Glavi</w:t>
      </w:r>
      <w:r w:rsidRPr="0084430E">
        <w:rPr>
          <w:lang w:val="sr-Cyrl-RS"/>
        </w:rPr>
        <w:t xml:space="preserve"> II. </w:t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naziv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Odeljka</w:t>
      </w:r>
      <w:r w:rsidRPr="0084430E">
        <w:rPr>
          <w:lang w:val="sr-Cyrl-RS"/>
        </w:rPr>
        <w:t xml:space="preserve"> 4.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14. </w:t>
      </w:r>
      <w:r w:rsidR="00B86178">
        <w:rPr>
          <w:lang w:val="sr-Cyrl-RS"/>
        </w:rPr>
        <w:t>menjaju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4E55602F" w14:textId="4DC0E50C" w:rsidR="00801D4B" w:rsidRPr="0084430E" w:rsidRDefault="00801D4B" w:rsidP="00801D4B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 xml:space="preserve">„4. </w:t>
      </w:r>
      <w:r w:rsidR="00B86178">
        <w:rPr>
          <w:lang w:val="sr-Cyrl-RS"/>
        </w:rPr>
        <w:t>Izlaganje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građanima</w:t>
      </w:r>
    </w:p>
    <w:p w14:paraId="3C57D480" w14:textId="31C206EA" w:rsidR="00801D4B" w:rsidRPr="0084430E" w:rsidRDefault="00B86178" w:rsidP="00801D4B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01D4B" w:rsidRPr="0084430E">
        <w:rPr>
          <w:lang w:val="sr-Cyrl-RS"/>
        </w:rPr>
        <w:t xml:space="preserve"> 14.</w:t>
      </w:r>
    </w:p>
    <w:p w14:paraId="107FFBC8" w14:textId="7E2800F0" w:rsidR="00801D4B" w:rsidRPr="0084430E" w:rsidRDefault="00801D4B" w:rsidP="00801D4B">
      <w:pPr>
        <w:tabs>
          <w:tab w:val="left" w:pos="1170"/>
        </w:tabs>
        <w:spacing w:after="120"/>
        <w:jc w:val="both"/>
        <w:rPr>
          <w:rFonts w:eastAsia="Arial" w:cs="Arial"/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cilju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građanima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svojoj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biračima</w:t>
      </w:r>
      <w:r w:rsidRPr="0084430E">
        <w:rPr>
          <w:rFonts w:eastAsia="Arial" w:cs="Arial"/>
          <w:color w:val="000000"/>
          <w:lang w:val="sr-Cyrl-RS"/>
        </w:rPr>
        <w:t xml:space="preserve"> (</w:t>
      </w:r>
      <w:r w:rsidR="00B86178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, </w:t>
      </w:r>
      <w:r w:rsidR="00B86178">
        <w:rPr>
          <w:rFonts w:eastAsia="Arial" w:cs="Arial"/>
          <w:color w:val="000000"/>
          <w:lang w:val="sr-Cyrl-RS"/>
        </w:rPr>
        <w:t>ime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jednog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od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roditelja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i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prezime</w:t>
      </w:r>
      <w:r w:rsidRPr="0084430E">
        <w:rPr>
          <w:rFonts w:eastAsia="Arial" w:cs="Arial"/>
          <w:color w:val="000000"/>
          <w:lang w:val="sr-Cyrl-RS"/>
        </w:rPr>
        <w:t xml:space="preserve">) </w:t>
      </w:r>
      <w:r w:rsidR="00B86178">
        <w:rPr>
          <w:rFonts w:eastAsia="Arial" w:cs="Arial"/>
          <w:color w:val="000000"/>
          <w:lang w:val="sr-Cyrl-RS"/>
        </w:rPr>
        <w:t>razvrstanim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po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biračkim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mestima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za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područje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jedinice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lokalne</w:t>
      </w:r>
      <w:r w:rsidRPr="0084430E">
        <w:rPr>
          <w:rFonts w:eastAsia="Arial" w:cs="Arial"/>
          <w:color w:val="000000"/>
          <w:lang w:val="sr-Cyrl-RS"/>
        </w:rPr>
        <w:t xml:space="preserve"> </w:t>
      </w:r>
      <w:r w:rsidR="00B86178">
        <w:rPr>
          <w:rFonts w:eastAsia="Arial" w:cs="Arial"/>
          <w:color w:val="000000"/>
          <w:lang w:val="sr-Cyrl-RS"/>
        </w:rPr>
        <w:t>samouprave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</w:t>
      </w:r>
      <w:r w:rsidR="00B86178">
        <w:rPr>
          <w:rFonts w:eastAsia="Arial" w:cs="Arial"/>
          <w:lang w:val="sr-Cyrl-RS"/>
        </w:rPr>
        <w:t>roju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birača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po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domaćinstvu</w:t>
      </w:r>
      <w:r w:rsidRPr="0084430E">
        <w:rPr>
          <w:rFonts w:eastAsia="Arial" w:cs="Arial"/>
          <w:lang w:val="sr-Cyrl-RS"/>
        </w:rPr>
        <w:t xml:space="preserve">, </w:t>
      </w:r>
      <w:r w:rsidR="00B86178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adresi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broju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stana</w:t>
      </w:r>
      <w:r w:rsidRPr="0084430E">
        <w:rPr>
          <w:rFonts w:eastAsia="Arial" w:cs="Arial"/>
          <w:lang w:val="sr-Cyrl-RS"/>
        </w:rPr>
        <w:t>.</w:t>
      </w:r>
    </w:p>
    <w:p w14:paraId="18EAF3DC" w14:textId="34BAC709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rFonts w:eastAsia="Arial" w:cs="Arial"/>
          <w:lang w:val="sr-Cyrl-RS"/>
        </w:rPr>
        <w:tab/>
      </w:r>
      <w:r w:rsidR="00B86178">
        <w:rPr>
          <w:rFonts w:eastAsia="Arial" w:cs="Arial"/>
          <w:lang w:val="sr-Cyrl-RS"/>
        </w:rPr>
        <w:t>Nakon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zaključenja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biračkog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spiska</w:t>
      </w:r>
      <w:r w:rsidRPr="0084430E">
        <w:rPr>
          <w:rFonts w:eastAsia="Arial" w:cs="Arial"/>
          <w:lang w:val="sr-Cyrl-RS"/>
        </w:rPr>
        <w:t xml:space="preserve">, </w:t>
      </w:r>
      <w:r w:rsidR="00B86178">
        <w:rPr>
          <w:rFonts w:eastAsia="Arial" w:cs="Arial"/>
          <w:lang w:val="sr-Cyrl-RS"/>
        </w:rPr>
        <w:t>ministarstvo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nadležno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za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poslove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uprave</w:t>
      </w:r>
      <w:r w:rsidRPr="0084430E">
        <w:rPr>
          <w:rFonts w:eastAsia="Arial" w:cs="Arial"/>
          <w:lang w:val="sr-Cyrl-RS"/>
        </w:rPr>
        <w:t xml:space="preserve">, </w:t>
      </w:r>
      <w:r w:rsidR="00B86178">
        <w:rPr>
          <w:rFonts w:eastAsia="Arial" w:cs="Arial"/>
          <w:lang w:val="sr-Cyrl-RS"/>
        </w:rPr>
        <w:t>osim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podataka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iz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stava</w:t>
      </w:r>
      <w:r w:rsidRPr="0084430E">
        <w:rPr>
          <w:rFonts w:eastAsia="Arial" w:cs="Arial"/>
          <w:lang w:val="sr-Cyrl-RS"/>
        </w:rPr>
        <w:t xml:space="preserve"> 1. </w:t>
      </w:r>
      <w:r w:rsidR="00B86178">
        <w:rPr>
          <w:rFonts w:eastAsia="Arial" w:cs="Arial"/>
          <w:lang w:val="sr-Cyrl-RS"/>
        </w:rPr>
        <w:t>ovog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člana</w:t>
      </w:r>
      <w:r w:rsidRPr="0084430E">
        <w:rPr>
          <w:rFonts w:eastAsia="Arial" w:cs="Arial"/>
          <w:lang w:val="sr-Cyrl-RS"/>
        </w:rPr>
        <w:t xml:space="preserve">, </w:t>
      </w:r>
      <w:r w:rsidR="00B86178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svojoj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veb</w:t>
      </w:r>
      <w:r w:rsidRPr="0084430E">
        <w:rPr>
          <w:rFonts w:eastAsia="Arial" w:cs="Arial"/>
          <w:lang w:val="sr-Cyrl-RS"/>
        </w:rPr>
        <w:t>-</w:t>
      </w:r>
      <w:r w:rsidR="00B86178">
        <w:rPr>
          <w:rFonts w:eastAsia="Arial" w:cs="Arial"/>
          <w:lang w:val="sr-Cyrl-RS"/>
        </w:rPr>
        <w:t>prezentaciji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objavljuje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podatak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da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li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će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birač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na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predstojećim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izborima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glasati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prebivališta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ili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zemlji</w:t>
      </w:r>
      <w:r w:rsidRPr="0084430E">
        <w:rPr>
          <w:rFonts w:eastAsia="Arial" w:cs="Arial"/>
          <w:lang w:val="sr-Cyrl-RS"/>
        </w:rPr>
        <w:t xml:space="preserve">, </w:t>
      </w:r>
      <w:r w:rsidR="00B86178">
        <w:rPr>
          <w:rFonts w:eastAsia="Arial" w:cs="Arial"/>
          <w:lang w:val="sr-Cyrl-RS"/>
        </w:rPr>
        <w:t>odnosno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prema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mestu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boravišta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u</w:t>
      </w:r>
      <w:r w:rsidRPr="0084430E">
        <w:rPr>
          <w:rFonts w:eastAsia="Arial" w:cs="Arial"/>
          <w:lang w:val="sr-Cyrl-RS"/>
        </w:rPr>
        <w:t xml:space="preserve"> </w:t>
      </w:r>
      <w:r w:rsidR="00B86178">
        <w:rPr>
          <w:rFonts w:eastAsia="Arial" w:cs="Arial"/>
          <w:lang w:val="sr-Cyrl-RS"/>
        </w:rPr>
        <w:t>inostranstvu</w:t>
      </w:r>
      <w:r w:rsidRPr="0084430E">
        <w:rPr>
          <w:rFonts w:eastAsia="Arial" w:cs="Arial"/>
          <w:lang w:val="sr-Cyrl-RS"/>
        </w:rPr>
        <w:t>.</w:t>
      </w:r>
    </w:p>
    <w:p w14:paraId="089A0E59" w14:textId="4D6B8037" w:rsidR="00801D4B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</w:t>
      </w:r>
      <w:r w:rsidRPr="0084430E">
        <w:rPr>
          <w:lang w:val="sr-Cyrl-RS"/>
        </w:rPr>
        <w:t xml:space="preserve">. 1.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2.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omogućava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prethodnim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unošenjem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registarskom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>.</w:t>
      </w:r>
    </w:p>
    <w:p w14:paraId="1925347E" w14:textId="455BF559" w:rsidR="00337CE2" w:rsidRPr="0084430E" w:rsidRDefault="00801D4B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Dan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opštinska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gradska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izlaže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oglašava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sredstava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javnog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informisanja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potrebi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obaveštava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opštinske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gradske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zaključenja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zahtevati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donošenje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>.</w:t>
      </w:r>
    </w:p>
    <w:p w14:paraId="435B762D" w14:textId="02E2E537" w:rsidR="00801D4B" w:rsidRPr="0084430E" w:rsidRDefault="00337CE2" w:rsidP="00801D4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Ministarstvo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nadležno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801D4B" w:rsidRPr="0084430E">
        <w:rPr>
          <w:lang w:val="sr-Cyrl-RS"/>
        </w:rPr>
        <w:t xml:space="preserve">, </w:t>
      </w:r>
      <w:r w:rsidR="00B86178">
        <w:rPr>
          <w:lang w:val="sr-Cyrl-RS"/>
        </w:rPr>
        <w:t>do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zaključenja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801D4B" w:rsidRPr="0084430E">
        <w:rPr>
          <w:lang w:val="sr-Cyrl-RS"/>
        </w:rPr>
        <w:t xml:space="preserve">, </w:t>
      </w:r>
      <w:r w:rsidR="00B86178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svakih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objavljuje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svojoj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="00801D4B"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broj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birača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razvrstanih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jedinicama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broju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lastRenderedPageBreak/>
        <w:t>u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delu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pojedinačno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svaku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jedinicu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="00801D4B"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pravni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osnov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tih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promena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prethodnih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sedam</w:t>
      </w:r>
      <w:r w:rsidR="00801D4B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801D4B" w:rsidRPr="0084430E">
        <w:rPr>
          <w:lang w:val="sr-Cyrl-RS"/>
        </w:rPr>
        <w:t>,</w:t>
      </w:r>
    </w:p>
    <w:p w14:paraId="26D1833A" w14:textId="70DDC0E7" w:rsidR="00801D4B" w:rsidRPr="0084430E" w:rsidRDefault="00801D4B" w:rsidP="009262BA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dela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područje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bliže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>.“.</w:t>
      </w:r>
    </w:p>
    <w:p w14:paraId="4EA40A9B" w14:textId="7EC3E043" w:rsidR="008F121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8F1216" w:rsidRPr="0084430E">
        <w:rPr>
          <w:lang w:val="sr-Cyrl-RS"/>
        </w:rPr>
        <w:t xml:space="preserve"> </w:t>
      </w:r>
      <w:r w:rsidR="002C101D" w:rsidRPr="0084430E">
        <w:rPr>
          <w:lang w:val="sr-Cyrl-RS"/>
        </w:rPr>
        <w:t>3</w:t>
      </w:r>
      <w:r w:rsidR="008F1216" w:rsidRPr="0084430E">
        <w:rPr>
          <w:lang w:val="sr-Cyrl-RS"/>
        </w:rPr>
        <w:t>.</w:t>
      </w:r>
    </w:p>
    <w:p w14:paraId="0637C18A" w14:textId="0C0A72C9" w:rsidR="008F1216" w:rsidRPr="0084430E" w:rsidRDefault="008F121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21. </w:t>
      </w:r>
      <w:r w:rsidR="00B86178">
        <w:rPr>
          <w:lang w:val="sr-Cyrl-RS"/>
        </w:rPr>
        <w:t>menja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glasi</w:t>
      </w:r>
      <w:r w:rsidRPr="0084430E">
        <w:rPr>
          <w:lang w:val="sr-Cyrl-RS"/>
        </w:rPr>
        <w:t>:</w:t>
      </w:r>
    </w:p>
    <w:p w14:paraId="24088DD2" w14:textId="27963841" w:rsidR="008F1216" w:rsidRPr="0084430E" w:rsidRDefault="006E75AC" w:rsidP="00C848D9">
      <w:pPr>
        <w:tabs>
          <w:tab w:val="left" w:pos="1170"/>
        </w:tabs>
        <w:spacing w:after="12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B86178">
        <w:rPr>
          <w:lang w:val="sr-Cyrl-RS"/>
        </w:rPr>
        <w:t>Član</w:t>
      </w:r>
      <w:r w:rsidR="008F1216" w:rsidRPr="0084430E">
        <w:rPr>
          <w:lang w:val="sr-Cyrl-RS"/>
        </w:rPr>
        <w:t xml:space="preserve"> 21.</w:t>
      </w:r>
    </w:p>
    <w:p w14:paraId="77357E16" w14:textId="2643358F" w:rsidR="00C34DF0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44486D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44486D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44486D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5A331929" w14:textId="7B804E81" w:rsidR="002F368B" w:rsidRPr="0084430E" w:rsidRDefault="002F368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sekretara</w:t>
      </w:r>
      <w:r w:rsidR="00681C8D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uputi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pogledu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6A28B7" w:rsidRPr="0084430E">
        <w:rPr>
          <w:lang w:val="sr-Cyrl-RS"/>
        </w:rPr>
        <w:t xml:space="preserve"> </w:t>
      </w:r>
      <w:r w:rsidR="00B86178">
        <w:rPr>
          <w:lang w:val="sr-Cyrl-RS"/>
        </w:rPr>
        <w:t>ministarstvu</w:t>
      </w:r>
      <w:r w:rsidR="006A28B7"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="006A28B7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6A28B7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6A28B7"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Republičkoj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A56E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5592DCE" w14:textId="27072E2E" w:rsidR="006A28B7" w:rsidRPr="0084430E" w:rsidRDefault="006A28B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Izuzetno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rok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izjašnjenje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2.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793F37F6" w14:textId="22AAFBF1" w:rsidR="00CD00FB" w:rsidRPr="0084430E" w:rsidRDefault="00CD00F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raspisivanja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udruženje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5E4BC5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izbor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narodnih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poslanika</w:t>
      </w:r>
      <w:r w:rsidR="005E4BC5" w:rsidRPr="0084430E">
        <w:rPr>
          <w:lang w:val="sr-Cyrl-RS"/>
        </w:rPr>
        <w:t>,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strane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dobilo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ovlašćenje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5E4BC5" w:rsidRPr="0084430E">
        <w:rPr>
          <w:lang w:val="sr-Cyrl-RS"/>
        </w:rPr>
        <w:t xml:space="preserve"> (</w:t>
      </w:r>
      <w:r w:rsidR="00B86178">
        <w:rPr>
          <w:lang w:val="sr-Cyrl-RS"/>
        </w:rPr>
        <w:t>domaći</w:t>
      </w:r>
      <w:r w:rsidR="005E4BC5" w:rsidRPr="0084430E">
        <w:rPr>
          <w:lang w:val="sr-Cyrl-RS"/>
        </w:rPr>
        <w:t xml:space="preserve"> </w:t>
      </w:r>
      <w:r w:rsidR="00B86178">
        <w:rPr>
          <w:lang w:val="sr-Cyrl-RS"/>
        </w:rPr>
        <w:t>posmatrač</w:t>
      </w:r>
      <w:r w:rsidR="005E4BC5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preko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ovlasti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0952C996" w14:textId="42E83630" w:rsidR="008F1216" w:rsidRPr="0084430E" w:rsidRDefault="00C34DF0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Od</w:t>
      </w:r>
      <w:r w:rsidR="008F1216" w:rsidRPr="0084430E">
        <w:rPr>
          <w:lang w:val="sr-Cyrl-RS"/>
        </w:rPr>
        <w:t xml:space="preserve"> </w:t>
      </w:r>
      <w:r w:rsidR="00B86178">
        <w:rPr>
          <w:lang w:val="sr-Cyrl-RS"/>
        </w:rPr>
        <w:t>pravnosnažnosti</w:t>
      </w:r>
      <w:r w:rsidR="008F1216" w:rsidRPr="0084430E">
        <w:rPr>
          <w:lang w:val="sr-Cyrl-RS"/>
        </w:rPr>
        <w:t xml:space="preserve"> </w:t>
      </w:r>
      <w:r w:rsidR="00B86178">
        <w:rPr>
          <w:lang w:val="sr-Cyrl-RS"/>
        </w:rPr>
        <w:t>proglašene</w:t>
      </w:r>
      <w:r w:rsidR="008F1216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8F1216" w:rsidRPr="0084430E">
        <w:rPr>
          <w:lang w:val="sr-Cyrl-RS"/>
        </w:rPr>
        <w:t xml:space="preserve"> </w:t>
      </w:r>
      <w:r w:rsidR="00B86178">
        <w:rPr>
          <w:lang w:val="sr-Cyrl-RS"/>
        </w:rPr>
        <w:t>liste</w:t>
      </w:r>
      <w:r w:rsidR="008F1216" w:rsidRPr="0084430E">
        <w:rPr>
          <w:lang w:val="sr-Cyrl-RS"/>
        </w:rPr>
        <w:t xml:space="preserve">, </w:t>
      </w:r>
      <w:r w:rsidR="00B86178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="00921354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921354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podnosilac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te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proglašene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liste</w:t>
      </w:r>
      <w:r w:rsidR="00921354" w:rsidRPr="0084430E">
        <w:rPr>
          <w:lang w:val="sr-Cyrl-RS"/>
        </w:rPr>
        <w:t xml:space="preserve">, </w:t>
      </w:r>
      <w:r w:rsidR="00B86178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način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to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ostvaruju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domaći</w:t>
      </w:r>
      <w:r w:rsidR="00921354" w:rsidRPr="0084430E">
        <w:rPr>
          <w:lang w:val="sr-Cyrl-RS"/>
        </w:rPr>
        <w:t xml:space="preserve"> </w:t>
      </w:r>
      <w:r w:rsidR="00B86178">
        <w:rPr>
          <w:lang w:val="sr-Cyrl-RS"/>
        </w:rPr>
        <w:t>posmatrači</w:t>
      </w:r>
      <w:r w:rsidR="00921354" w:rsidRPr="0084430E">
        <w:rPr>
          <w:lang w:val="sr-Cyrl-RS"/>
        </w:rPr>
        <w:t>.</w:t>
      </w:r>
    </w:p>
    <w:p w14:paraId="480C44A7" w14:textId="4AD4CEFB" w:rsidR="00751B68" w:rsidRPr="0084430E" w:rsidRDefault="008F1216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Podnosilac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proglašene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promenu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="006E75AC" w:rsidRPr="0084430E">
        <w:rPr>
          <w:lang w:val="sr-Cyrl-RS"/>
        </w:rPr>
        <w:t xml:space="preserve">, </w:t>
      </w:r>
      <w:r w:rsidR="00B86178">
        <w:rPr>
          <w:lang w:val="sr-Cyrl-RS"/>
        </w:rPr>
        <w:t>uz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moraju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priložiti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ovlašćenje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birača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kojeg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zahtev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odnosi</w:t>
      </w:r>
      <w:r w:rsidR="006E75A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odgovarajući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dokazi</w:t>
      </w:r>
      <w:r w:rsidRPr="0084430E">
        <w:rPr>
          <w:lang w:val="sr-Cyrl-RS"/>
        </w:rPr>
        <w:t>.</w:t>
      </w:r>
    </w:p>
    <w:p w14:paraId="19B2873F" w14:textId="0C212F5C" w:rsidR="00751B68" w:rsidRPr="0084430E" w:rsidRDefault="00C34DF0" w:rsidP="00751B6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</w:t>
      </w:r>
      <w:r w:rsidRPr="0084430E">
        <w:rPr>
          <w:lang w:val="sr-Cyrl-RS"/>
        </w:rPr>
        <w:t>.</w:t>
      </w:r>
      <w:r w:rsidR="004B50E6" w:rsidRPr="0084430E">
        <w:rPr>
          <w:lang w:val="sr-Cyrl-RS"/>
        </w:rPr>
        <w:t xml:space="preserve"> 1</w:t>
      </w:r>
      <w:r w:rsidR="00665655" w:rsidRPr="0084430E">
        <w:rPr>
          <w:lang w:val="sr-Cyrl-RS"/>
        </w:rPr>
        <w:t>,</w:t>
      </w:r>
      <w:r w:rsidR="00751B68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4</w:t>
      </w:r>
      <w:r w:rsidR="00665655" w:rsidRPr="0084430E">
        <w:rPr>
          <w:lang w:val="sr-Cyrl-RS"/>
        </w:rPr>
        <w:t xml:space="preserve">. </w:t>
      </w:r>
      <w:r w:rsidR="00B86178">
        <w:rPr>
          <w:lang w:val="sr-Cyrl-RS"/>
        </w:rPr>
        <w:t>i</w:t>
      </w:r>
      <w:r w:rsidR="00665655" w:rsidRPr="0084430E">
        <w:rPr>
          <w:lang w:val="sr-Cyrl-RS"/>
        </w:rPr>
        <w:t xml:space="preserve"> </w:t>
      </w:r>
      <w:r w:rsidR="006A28B7" w:rsidRPr="0084430E">
        <w:rPr>
          <w:lang w:val="sr-Cyrl-RS"/>
        </w:rPr>
        <w:t>5</w:t>
      </w:r>
      <w:r w:rsidR="00665655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ostvariti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tek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nakon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potpisivanja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pismene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poverljivosti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potvrđuje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upoznato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obavezom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mora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postupati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isključivo</w:t>
      </w:r>
      <w:r w:rsidR="008D60E7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D60E7" w:rsidRPr="0084430E">
        <w:rPr>
          <w:lang w:val="sr-Cyrl-RS"/>
        </w:rPr>
        <w:t xml:space="preserve"> </w:t>
      </w:r>
      <w:r w:rsidR="00B86178">
        <w:rPr>
          <w:lang w:val="sr-Cyrl-RS"/>
        </w:rPr>
        <w:t>svrhu</w:t>
      </w:r>
      <w:r w:rsidR="008D60E7"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="008D60E7" w:rsidRPr="0084430E">
        <w:rPr>
          <w:lang w:val="sr-Cyrl-RS"/>
        </w:rPr>
        <w:t xml:space="preserve"> </w:t>
      </w:r>
      <w:r w:rsidR="00B86178">
        <w:rPr>
          <w:lang w:val="sr-Cyrl-RS"/>
        </w:rPr>
        <w:t>koj</w:t>
      </w:r>
      <w:r w:rsidR="008D60E7" w:rsidRPr="0084430E">
        <w:rPr>
          <w:lang w:val="sr-Cyrl-RS"/>
        </w:rPr>
        <w:t>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mu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="00751B68" w:rsidRPr="0084430E">
        <w:rPr>
          <w:lang w:val="sr-Cyrl-RS"/>
        </w:rPr>
        <w:t xml:space="preserve"> </w:t>
      </w:r>
      <w:r w:rsidR="00B86178">
        <w:rPr>
          <w:lang w:val="sr-Cyrl-RS"/>
        </w:rPr>
        <w:t>povereno</w:t>
      </w:r>
      <w:r w:rsidR="00751B68" w:rsidRPr="0084430E">
        <w:rPr>
          <w:lang w:val="sr-Cyrl-RS"/>
        </w:rPr>
        <w:t>.</w:t>
      </w:r>
    </w:p>
    <w:p w14:paraId="70FB47C9" w14:textId="79EB913B" w:rsidR="008F1216" w:rsidRPr="0084430E" w:rsidRDefault="00751B68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00123B" w:rsidRPr="0084430E">
        <w:rPr>
          <w:lang w:val="sr-Cyrl-RS"/>
        </w:rPr>
        <w:t>7</w:t>
      </w:r>
      <w:r w:rsidR="002F368B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sastavni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propisa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predviđenog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izvršavanje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032739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  <w:r w:rsidR="006E75AC" w:rsidRPr="0084430E">
        <w:rPr>
          <w:lang w:val="sr-Cyrl-RS"/>
        </w:rPr>
        <w:t>“.</w:t>
      </w:r>
    </w:p>
    <w:p w14:paraId="72FDEA4B" w14:textId="5D047288" w:rsidR="00665655" w:rsidRPr="0084430E" w:rsidRDefault="00B86178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4</w:t>
      </w:r>
      <w:r w:rsidR="00665655" w:rsidRPr="0084430E">
        <w:rPr>
          <w:lang w:val="sr-Cyrl-RS"/>
        </w:rPr>
        <w:t>.</w:t>
      </w:r>
    </w:p>
    <w:p w14:paraId="12123E41" w14:textId="066EC9B0" w:rsidR="00665655" w:rsidRPr="0084430E" w:rsidRDefault="00665655" w:rsidP="00665655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Glave</w:t>
      </w:r>
      <w:r w:rsidRPr="0084430E">
        <w:rPr>
          <w:lang w:val="sr-Cyrl-RS"/>
        </w:rPr>
        <w:t xml:space="preserve"> V. </w:t>
      </w:r>
      <w:r w:rsidR="00B86178">
        <w:rPr>
          <w:lang w:val="sr-Cyrl-RS"/>
        </w:rPr>
        <w:t>dodaje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Glava</w:t>
      </w:r>
      <w:r w:rsidRPr="0084430E">
        <w:rPr>
          <w:lang w:val="sr-Cyrl-RS"/>
        </w:rPr>
        <w:t xml:space="preserve"> V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</w:t>
      </w:r>
      <w:r w:rsidRPr="0084430E">
        <w:rPr>
          <w:lang w:val="sr-Cyrl-RS"/>
        </w:rPr>
        <w:t>. 22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22</w:t>
      </w:r>
      <w:r w:rsidR="00B86178">
        <w:rPr>
          <w:lang w:val="sr-Cyrl-RS"/>
        </w:rPr>
        <w:t>p</w:t>
      </w:r>
      <w:r w:rsidR="00281C72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60EAF297" w14:textId="25013E3C" w:rsidR="00665655" w:rsidRPr="0084430E" w:rsidRDefault="00665655" w:rsidP="00665655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</w:t>
      </w:r>
      <w:r w:rsidR="00291424" w:rsidRPr="0084430E">
        <w:rPr>
          <w:lang w:val="sr-Cyrl-RS"/>
        </w:rPr>
        <w:t>V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REVIZIJA</w:t>
      </w:r>
      <w:r w:rsidR="00291424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91424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</w:p>
    <w:p w14:paraId="306986CA" w14:textId="0A921BE0" w:rsidR="001D2116" w:rsidRPr="0084430E" w:rsidRDefault="00B86178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Pojam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1D2116" w:rsidRPr="0084430E">
        <w:rPr>
          <w:lang w:val="sr-Cyrl-RS"/>
        </w:rPr>
        <w:t xml:space="preserve"> </w:t>
      </w:r>
      <w:r>
        <w:rPr>
          <w:lang w:val="sr-Cyrl-RS"/>
        </w:rPr>
        <w:t>nadležnost</w:t>
      </w:r>
    </w:p>
    <w:p w14:paraId="5B64B77E" w14:textId="6681D164" w:rsidR="00665655" w:rsidRPr="0084430E" w:rsidRDefault="00B86178" w:rsidP="00665655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665655" w:rsidRPr="0084430E">
        <w:rPr>
          <w:lang w:val="sr-Cyrl-RS"/>
        </w:rPr>
        <w:t xml:space="preserve"> 2</w:t>
      </w:r>
      <w:r w:rsidR="00291424" w:rsidRPr="0084430E">
        <w:rPr>
          <w:lang w:val="sr-Cyrl-RS"/>
        </w:rPr>
        <w:t>2</w:t>
      </w:r>
      <w:r>
        <w:rPr>
          <w:lang w:val="sr-Cyrl-RS"/>
        </w:rPr>
        <w:t>a</w:t>
      </w:r>
    </w:p>
    <w:p w14:paraId="41E03AE2" w14:textId="67187839" w:rsidR="00CA6D76" w:rsidRPr="0084430E" w:rsidRDefault="00CA6D76" w:rsidP="00CA6D7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Revizija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ocene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kvaliteta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tačnosti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pouzdanosti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efikasnosti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.</w:t>
      </w:r>
    </w:p>
    <w:p w14:paraId="523FCF56" w14:textId="5097FCD7" w:rsidR="00665655" w:rsidRPr="0084430E" w:rsidRDefault="00CA6D76" w:rsidP="00BC235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Reviziju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obavlja</w:t>
      </w:r>
      <w:r w:rsidRPr="0084430E">
        <w:rPr>
          <w:lang w:val="sr-Cyrl-RS"/>
        </w:rPr>
        <w:t xml:space="preserve"> </w:t>
      </w:r>
      <w:r w:rsidR="00387667" w:rsidRPr="0084430E">
        <w:rPr>
          <w:lang w:val="sr-Cyrl-RS"/>
        </w:rPr>
        <w:t>K</w:t>
      </w:r>
      <w:r w:rsidR="00B86178">
        <w:rPr>
          <w:lang w:val="sr-Cyrl-RS"/>
        </w:rPr>
        <w:t>omisija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reviziju</w:t>
      </w:r>
      <w:r w:rsidR="00387667" w:rsidRPr="0084430E">
        <w:rPr>
          <w:lang w:val="sr-Cyrl-RS"/>
        </w:rPr>
        <w:t xml:space="preserve">, </w:t>
      </w:r>
      <w:r w:rsidR="00B86178">
        <w:rPr>
          <w:lang w:val="sr-Cyrl-RS"/>
        </w:rPr>
        <w:t>verifikaciju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kontrolu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tačnosti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387667" w:rsidRPr="0084430E">
        <w:rPr>
          <w:lang w:val="sr-Cyrl-RS"/>
        </w:rPr>
        <w:t xml:space="preserve"> (</w:t>
      </w:r>
      <w:r w:rsidR="00B86178">
        <w:rPr>
          <w:lang w:val="sr-Cyrl-RS"/>
        </w:rPr>
        <w:t>u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="00387667"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="00387667" w:rsidRPr="0084430E">
        <w:rPr>
          <w:lang w:val="sr-Cyrl-RS"/>
        </w:rPr>
        <w:t xml:space="preserve">: </w:t>
      </w:r>
      <w:r w:rsidR="00B86178">
        <w:rPr>
          <w:lang w:val="sr-Cyrl-RS"/>
        </w:rPr>
        <w:t>Komisija</w:t>
      </w:r>
      <w:r w:rsidR="00387667" w:rsidRPr="0084430E">
        <w:rPr>
          <w:lang w:val="sr-Cyrl-RS"/>
        </w:rPr>
        <w:t>).</w:t>
      </w:r>
    </w:p>
    <w:p w14:paraId="7501EAE9" w14:textId="4309A94F" w:rsidR="002E4656" w:rsidRPr="0084430E" w:rsidRDefault="00B86178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Sastav</w:t>
      </w:r>
      <w:r w:rsidR="002E465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659DD039" w14:textId="5BE829F0" w:rsidR="00966BBA" w:rsidRPr="0084430E" w:rsidRDefault="00B86178" w:rsidP="00966BBA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66BBA" w:rsidRPr="0084430E">
        <w:rPr>
          <w:lang w:val="sr-Cyrl-RS"/>
        </w:rPr>
        <w:t xml:space="preserve"> 22</w:t>
      </w:r>
      <w:r>
        <w:rPr>
          <w:lang w:val="sr-Cyrl-RS"/>
        </w:rPr>
        <w:t>b</w:t>
      </w:r>
    </w:p>
    <w:p w14:paraId="724A03FB" w14:textId="02313C47" w:rsidR="00966BBA" w:rsidRPr="0084430E" w:rsidRDefault="00966BBA" w:rsidP="00966BBA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Komisija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samostalno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nezavisno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telo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2E4656" w:rsidRPr="0084430E">
        <w:rPr>
          <w:lang w:val="sr-Cyrl-RS"/>
        </w:rPr>
        <w:t xml:space="preserve"> </w:t>
      </w:r>
      <w:r w:rsidR="00B86178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njihovi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="00E77AA8" w:rsidRPr="0084430E">
        <w:rPr>
          <w:lang w:val="sr-Cyrl-RS"/>
        </w:rPr>
        <w:t>.</w:t>
      </w:r>
    </w:p>
    <w:p w14:paraId="1C8795E4" w14:textId="6874A7B7" w:rsidR="00966BBA" w:rsidRPr="0084430E" w:rsidRDefault="002E4656" w:rsidP="00AB4A3E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Osam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966BBA" w:rsidRPr="0084430E">
        <w:rPr>
          <w:lang w:val="sr-Cyrl-RS"/>
        </w:rPr>
        <w:t xml:space="preserve">, </w:t>
      </w:r>
      <w:r w:rsidR="00B86178">
        <w:rPr>
          <w:lang w:val="sr-Cyrl-RS"/>
        </w:rPr>
        <w:t>dok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njihovi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imenuju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strane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6307DF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izbor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narodnih</w:t>
      </w:r>
      <w:r w:rsidR="006307DF" w:rsidRPr="0084430E">
        <w:rPr>
          <w:lang w:val="sr-Cyrl-RS"/>
        </w:rPr>
        <w:t xml:space="preserve"> </w:t>
      </w:r>
      <w:r w:rsidR="00B86178">
        <w:rPr>
          <w:lang w:val="sr-Cyrl-RS"/>
        </w:rPr>
        <w:t>poslanika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dobila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izborna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postupka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objavila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nalazima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posmatranja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tih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izbornih</w:t>
      </w:r>
      <w:r w:rsidR="00966BBA" w:rsidRPr="0084430E">
        <w:rPr>
          <w:lang w:val="sr-Cyrl-RS"/>
        </w:rPr>
        <w:t xml:space="preserve"> </w:t>
      </w:r>
      <w:r w:rsidR="00B86178">
        <w:rPr>
          <w:lang w:val="sr-Cyrl-RS"/>
        </w:rPr>
        <w:t>postupaka</w:t>
      </w:r>
      <w:r w:rsidR="00966BBA" w:rsidRPr="0084430E">
        <w:rPr>
          <w:lang w:val="sr-Cyrl-RS"/>
        </w:rPr>
        <w:t>.</w:t>
      </w:r>
    </w:p>
    <w:p w14:paraId="188E2046" w14:textId="541B1DC3" w:rsidR="00AB4A3E" w:rsidRPr="0084430E" w:rsidRDefault="00B86178" w:rsidP="00AB4A3E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Nadležnost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predlaganje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AB4A3E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78EC1B" w14:textId="07FD54AA" w:rsidR="000F5F02" w:rsidRPr="0084430E" w:rsidRDefault="00B86178" w:rsidP="000F5F0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F5F02" w:rsidRPr="0084430E">
        <w:rPr>
          <w:lang w:val="sr-Cyrl-RS"/>
        </w:rPr>
        <w:t xml:space="preserve"> 22</w:t>
      </w:r>
      <w:r>
        <w:rPr>
          <w:lang w:val="sr-Cyrl-RS"/>
        </w:rPr>
        <w:t>v</w:t>
      </w:r>
    </w:p>
    <w:p w14:paraId="00DC0158" w14:textId="3DEBC177" w:rsidR="00B95D91" w:rsidRPr="0084430E" w:rsidRDefault="000F5F02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Pet</w:t>
      </w:r>
      <w:r w:rsidR="00B95D91" w:rsidRPr="0084430E">
        <w:rPr>
          <w:lang w:val="sr-Cyrl-RS"/>
        </w:rPr>
        <w:t xml:space="preserve"> </w:t>
      </w:r>
      <w:r w:rsidR="00B86178">
        <w:rPr>
          <w:lang w:val="sr-Cyrl-RS"/>
        </w:rPr>
        <w:t>najvećih</w:t>
      </w:r>
      <w:r w:rsidR="00B95D91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B95D91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B95D91" w:rsidRPr="0084430E">
        <w:rPr>
          <w:lang w:val="sr-Cyrl-RS"/>
        </w:rPr>
        <w:t xml:space="preserve"> 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to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tako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što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svaka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predlaže</w:t>
      </w:r>
      <w:r w:rsidR="00B95D91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A553C4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95D91" w:rsidRPr="0084430E">
        <w:rPr>
          <w:lang w:val="sr-Cyrl-RS"/>
        </w:rPr>
        <w:t>.</w:t>
      </w:r>
    </w:p>
    <w:p w14:paraId="192FE38C" w14:textId="00313387" w:rsidR="00491B8E" w:rsidRPr="0084430E" w:rsidRDefault="00491B8E" w:rsidP="00491B8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Poslaničkom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smatra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podržavaju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Vlade</w:t>
      </w:r>
      <w:r w:rsidRPr="0084430E">
        <w:rPr>
          <w:lang w:val="sr-Cyrl-RS"/>
        </w:rPr>
        <w:t>.</w:t>
      </w:r>
    </w:p>
    <w:p w14:paraId="132C49BD" w14:textId="2DBB20BB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toj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515970D" w14:textId="4DCE0E1E" w:rsidR="00B95D91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više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parlamentarnu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većinu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najveća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ostale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5909A31E" w14:textId="2D9F2F15" w:rsidR="000F5F02" w:rsidRPr="0084430E" w:rsidRDefault="00B95D91" w:rsidP="000F5F0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najveće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Pr="0084430E">
        <w:rPr>
          <w:rFonts w:eastAsia="Arial" w:cs="Arial"/>
          <w:color w:val="333333"/>
          <w:lang w:val="sr-Cyrl-RS"/>
        </w:rPr>
        <w:t>(</w:t>
      </w:r>
      <w:r w:rsidR="00B86178">
        <w:rPr>
          <w:rFonts w:eastAsia="Arial" w:cs="Arial"/>
          <w:color w:val="333333"/>
          <w:lang w:val="sr-Cyrl-RS"/>
        </w:rPr>
        <w:t>poslaničke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grupe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koje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nisu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deo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parlamentarne</w:t>
      </w:r>
      <w:r w:rsidRPr="0084430E">
        <w:rPr>
          <w:rFonts w:eastAsia="Arial" w:cs="Arial"/>
          <w:color w:val="333333"/>
          <w:lang w:val="sr-Cyrl-RS"/>
        </w:rPr>
        <w:t xml:space="preserve"> </w:t>
      </w:r>
      <w:r w:rsidR="00B86178">
        <w:rPr>
          <w:rFonts w:eastAsia="Arial" w:cs="Arial"/>
          <w:color w:val="333333"/>
          <w:lang w:val="sr-Cyrl-RS"/>
        </w:rPr>
        <w:t>većine</w:t>
      </w:r>
      <w:r w:rsidRPr="0084430E">
        <w:rPr>
          <w:rFonts w:eastAsia="Arial" w:cs="Arial"/>
          <w:color w:val="333333"/>
          <w:lang w:val="sr-Cyrl-RS"/>
        </w:rPr>
        <w:t>)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predlažu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C399B4" w14:textId="366C2ECE" w:rsidR="00A553C4" w:rsidRPr="0084430E" w:rsidRDefault="00A553C4" w:rsidP="00A553C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većoj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dok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lastRenderedPageBreak/>
        <w:t>manjoj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pripada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7EC6622" w14:textId="5F98530A" w:rsidR="00460FF6" w:rsidRPr="0084430E" w:rsidRDefault="00AF357F" w:rsidP="00460FF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B86178">
        <w:rPr>
          <w:lang w:val="sr-Cyrl-RS"/>
        </w:rPr>
        <w:t>Ako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460FF6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postoji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jedna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opoziciona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460FF6" w:rsidRPr="0084430E">
        <w:rPr>
          <w:lang w:val="sr-Cyrl-RS"/>
        </w:rPr>
        <w:t xml:space="preserve">, </w:t>
      </w:r>
      <w:r w:rsidR="00B86178">
        <w:rPr>
          <w:lang w:val="sr-Cyrl-RS"/>
        </w:rPr>
        <w:t>njoj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pripada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predloži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sva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460FF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460FF6" w:rsidRPr="0084430E">
        <w:rPr>
          <w:lang w:val="sr-Cyrl-RS"/>
        </w:rPr>
        <w:t>.</w:t>
      </w:r>
    </w:p>
    <w:p w14:paraId="12B75D43" w14:textId="03655CDF" w:rsidR="00A553C4" w:rsidRPr="0084430E" w:rsidRDefault="00460FF6" w:rsidP="00AF357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ova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predlažu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poslaničke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grupe</w:t>
      </w:r>
      <w:r w:rsidR="00491B8E" w:rsidRPr="0084430E">
        <w:rPr>
          <w:lang w:val="sr-Cyrl-RS"/>
        </w:rPr>
        <w:t xml:space="preserve"> 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parlamentarne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većine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shodnu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primenu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pravila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st</w:t>
      </w:r>
      <w:r w:rsidR="002050ED">
        <w:rPr>
          <w:lang w:val="sr-Cyrl-RS"/>
        </w:rPr>
        <w:t>.</w:t>
      </w:r>
      <w:r w:rsidR="00491B8E" w:rsidRPr="0084430E">
        <w:rPr>
          <w:lang w:val="sr-Cyrl-RS"/>
        </w:rPr>
        <w:t xml:space="preserve"> 2-4. </w:t>
      </w:r>
      <w:r w:rsidR="00B86178">
        <w:rPr>
          <w:lang w:val="sr-Cyrl-RS"/>
        </w:rPr>
        <w:t>ovog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>.</w:t>
      </w:r>
    </w:p>
    <w:p w14:paraId="498D9589" w14:textId="594972F2" w:rsidR="005547DE" w:rsidRPr="0084430E" w:rsidRDefault="000F5F02" w:rsidP="001C3512">
      <w:pPr>
        <w:tabs>
          <w:tab w:val="left" w:pos="1170"/>
        </w:tabs>
        <w:spacing w:after="240"/>
        <w:jc w:val="both"/>
        <w:rPr>
          <w:b/>
          <w:strike/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Zainteresovano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udruženje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ispunjava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uslov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547DE" w:rsidRPr="0084430E">
        <w:rPr>
          <w:lang w:val="sr-Cyrl-RS"/>
        </w:rPr>
        <w:t xml:space="preserve"> 22</w:t>
      </w:r>
      <w:r w:rsidR="00B86178">
        <w:rPr>
          <w:lang w:val="sr-Cyrl-RS"/>
        </w:rPr>
        <w:t>b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5547DE" w:rsidRPr="0084430E">
        <w:rPr>
          <w:lang w:val="sr-Cyrl-RS"/>
        </w:rPr>
        <w:t xml:space="preserve"> </w:t>
      </w:r>
      <w:r w:rsidR="00DF7F93" w:rsidRPr="0084430E">
        <w:rPr>
          <w:lang w:val="sr-Cyrl-RS"/>
        </w:rPr>
        <w:t>(</w:t>
      </w:r>
      <w:r w:rsidR="00B86178">
        <w:rPr>
          <w:lang w:val="sr-Cyrl-RS"/>
        </w:rPr>
        <w:t>u</w:t>
      </w:r>
      <w:r w:rsidR="00DF7F93"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="00DF7F93"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="00DF7F93" w:rsidRPr="0084430E">
        <w:rPr>
          <w:lang w:val="sr-Cyrl-RS"/>
        </w:rPr>
        <w:t xml:space="preserve">: </w:t>
      </w:r>
      <w:r w:rsidR="00B86178">
        <w:rPr>
          <w:lang w:val="sr-Cyrl-RS"/>
        </w:rPr>
        <w:t>udruženje</w:t>
      </w:r>
      <w:r w:rsidR="00DF7F93" w:rsidRPr="0084430E">
        <w:rPr>
          <w:lang w:val="sr-Cyrl-RS"/>
        </w:rPr>
        <w:t xml:space="preserve">) </w:t>
      </w:r>
      <w:r w:rsidR="00B86178">
        <w:rPr>
          <w:lang w:val="sr-Cyrl-RS"/>
        </w:rPr>
        <w:t>dostavlja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547DE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5547DE" w:rsidRPr="0084430E">
        <w:rPr>
          <w:lang w:val="sr-Cyrl-RS"/>
        </w:rPr>
        <w:t>.</w:t>
      </w:r>
    </w:p>
    <w:p w14:paraId="682EE43F" w14:textId="268A6D72" w:rsidR="00931932" w:rsidRPr="0084430E" w:rsidRDefault="00B86178" w:rsidP="0093193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imenovanje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Komisiju</w:t>
      </w:r>
    </w:p>
    <w:p w14:paraId="69F72FBB" w14:textId="6EDB1A32" w:rsidR="00FC3E13" w:rsidRPr="0084430E" w:rsidRDefault="00B86178" w:rsidP="006A5DB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C3E13" w:rsidRPr="0084430E">
        <w:rPr>
          <w:lang w:val="sr-Cyrl-RS"/>
        </w:rPr>
        <w:t xml:space="preserve"> 22</w:t>
      </w:r>
      <w:r>
        <w:rPr>
          <w:lang w:val="sr-Cyrl-RS"/>
        </w:rPr>
        <w:t>g</w:t>
      </w:r>
    </w:p>
    <w:p w14:paraId="4AEF19E3" w14:textId="6DF6A844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Pr="0084430E">
        <w:rPr>
          <w:lang w:val="sr-Cyrl-RS"/>
        </w:rPr>
        <w:t>:</w:t>
      </w:r>
    </w:p>
    <w:p w14:paraId="51C0E418" w14:textId="77542963" w:rsidR="00FC3E13" w:rsidRPr="0084430E" w:rsidRDefault="00FC3E13" w:rsidP="00FC3E13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1)</w:t>
      </w:r>
      <w:r w:rsidRPr="0084430E">
        <w:rPr>
          <w:lang w:val="sr-Cyrl-RS"/>
        </w:rPr>
        <w:tab/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državljanin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Srbije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prebivalište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teritoriji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Srbije</w:t>
      </w:r>
      <w:r w:rsidRPr="0084430E">
        <w:rPr>
          <w:lang w:val="sr-Cyrl-RS"/>
        </w:rPr>
        <w:t>;</w:t>
      </w:r>
    </w:p>
    <w:p w14:paraId="6FFB4342" w14:textId="01CE610B" w:rsidR="00FC3E13" w:rsidRPr="0084430E" w:rsidRDefault="00FC3E13" w:rsidP="00FC3E1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>2)</w:t>
      </w:r>
      <w:r w:rsidRPr="0084430E">
        <w:rPr>
          <w:lang w:val="sr-Cyrl-RS"/>
        </w:rPr>
        <w:tab/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pravnih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društveno</w:t>
      </w:r>
      <w:r w:rsidRPr="0084430E">
        <w:rPr>
          <w:lang w:val="sr-Cyrl-RS"/>
        </w:rPr>
        <w:t>-</w:t>
      </w:r>
      <w:r w:rsidR="00B86178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godina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iskustva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15503350" w14:textId="748981F0" w:rsidR="00684A90" w:rsidRPr="0084430E" w:rsidRDefault="00FC3E13" w:rsidP="00FC3E1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predloženo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poslanik</w:t>
      </w:r>
      <w:r w:rsidR="00E8074B" w:rsidRPr="0084430E">
        <w:rPr>
          <w:lang w:val="sr-Cyrl-RS"/>
        </w:rPr>
        <w:t xml:space="preserve">, </w:t>
      </w:r>
      <w:r w:rsidR="00B86178">
        <w:rPr>
          <w:lang w:val="sr-Cyrl-RS"/>
        </w:rPr>
        <w:t>član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E8074B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zaposleno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izabrano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postavljeno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956225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opštinskom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gradskom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organu</w:t>
      </w:r>
      <w:r w:rsidR="00956225"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7A093C"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pravnosnažno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osuđeno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krivično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delo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bezuslovnu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kaznu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zatvora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="007A093C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Pr="0084430E">
        <w:rPr>
          <w:lang w:val="sr-Cyrl-RS"/>
        </w:rPr>
        <w:t>.</w:t>
      </w:r>
    </w:p>
    <w:p w14:paraId="40CD531D" w14:textId="343605E5" w:rsidR="00931932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Predlaganje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931932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FFA4B37" w14:textId="54F429FD" w:rsidR="009E3BDF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22</w:t>
      </w:r>
      <w:r>
        <w:rPr>
          <w:lang w:val="sr-Cyrl-RS"/>
        </w:rPr>
        <w:t>d</w:t>
      </w:r>
    </w:p>
    <w:p w14:paraId="602441FD" w14:textId="00841787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0F5AE0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0F5AE0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0F5AE0" w:rsidRPr="0084430E">
        <w:rPr>
          <w:lang w:val="sr-Cyrl-RS"/>
        </w:rPr>
        <w:t xml:space="preserve"> </w:t>
      </w:r>
      <w:r w:rsidR="00B86178">
        <w:rPr>
          <w:lang w:val="sr-Cyrl-RS"/>
        </w:rPr>
        <w:t>sprovodi</w:t>
      </w:r>
      <w:r w:rsidR="000F5AE0"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nadlež</w:t>
      </w:r>
      <w:r w:rsidR="00F3706D" w:rsidRPr="0084430E">
        <w:rPr>
          <w:lang w:val="sr-Cyrl-RS"/>
        </w:rPr>
        <w:t>a</w:t>
      </w:r>
      <w:r w:rsidR="00B86178">
        <w:rPr>
          <w:lang w:val="sr-Cyrl-RS"/>
        </w:rPr>
        <w:t>n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upravu</w:t>
      </w:r>
      <w:r w:rsidR="00F3706D" w:rsidRPr="0084430E">
        <w:rPr>
          <w:lang w:val="sr-Cyrl-RS"/>
        </w:rPr>
        <w:t xml:space="preserve"> (</w:t>
      </w:r>
      <w:r w:rsidR="00B86178">
        <w:rPr>
          <w:lang w:val="sr-Cyrl-RS"/>
        </w:rPr>
        <w:t>u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="00F3706D" w:rsidRPr="0084430E">
        <w:rPr>
          <w:lang w:val="sr-Cyrl-RS"/>
        </w:rPr>
        <w:t xml:space="preserve">: </w:t>
      </w:r>
      <w:r w:rsidR="00B86178">
        <w:rPr>
          <w:lang w:val="sr-Cyrl-RS"/>
        </w:rPr>
        <w:t>Nadležni</w:t>
      </w:r>
      <w:r w:rsidR="00F3706D"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="00F3706D" w:rsidRPr="0084430E">
        <w:rPr>
          <w:lang w:val="sr-Cyrl-RS"/>
        </w:rPr>
        <w:t>)</w:t>
      </w:r>
      <w:r w:rsidRPr="0084430E">
        <w:rPr>
          <w:lang w:val="sr-Cyrl-RS"/>
        </w:rPr>
        <w:t>.</w:t>
      </w:r>
    </w:p>
    <w:p w14:paraId="6A046BE9" w14:textId="636633C2" w:rsidR="001C3CA1" w:rsidRPr="0084430E" w:rsidRDefault="001C3CA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pokreće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najkasnije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32871" w:rsidRPr="0084430E">
        <w:rPr>
          <w:lang w:val="sr-Cyrl-RS"/>
        </w:rPr>
        <w:t xml:space="preserve">, </w:t>
      </w:r>
      <w:r w:rsidR="00B86178">
        <w:rPr>
          <w:lang w:val="sr-Cyrl-RS"/>
        </w:rPr>
        <w:t>tako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što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predsednik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odbora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upućuje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dopis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poslaničkim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grupama</w:t>
      </w:r>
      <w:r w:rsidR="00B32871" w:rsidRPr="0084430E">
        <w:rPr>
          <w:lang w:val="sr-Cyrl-RS"/>
        </w:rPr>
        <w:t xml:space="preserve"> </w:t>
      </w:r>
      <w:r w:rsidR="00B86178">
        <w:rPr>
          <w:lang w:val="sr-Cyrl-RS"/>
        </w:rPr>
        <w:t>dok</w:t>
      </w:r>
      <w:r w:rsidR="008D4F37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="0029662C"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objavljuje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javni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poziv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zainteresovanim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udruženjima</w:t>
      </w:r>
      <w:r w:rsidR="0029662C" w:rsidRPr="0084430E">
        <w:rPr>
          <w:lang w:val="sr-Cyrl-RS"/>
        </w:rPr>
        <w:t xml:space="preserve">, </w:t>
      </w:r>
      <w:r w:rsidR="00B86178">
        <w:rPr>
          <w:lang w:val="sr-Cyrl-RS"/>
        </w:rPr>
        <w:t>radi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dostavljanja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predloga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29662C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29662C" w:rsidRPr="0084430E">
        <w:rPr>
          <w:lang w:val="sr-Cyrl-RS"/>
        </w:rPr>
        <w:t>.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Dodatno</w:t>
      </w:r>
      <w:r w:rsidR="002050ED">
        <w:rPr>
          <w:lang w:val="sr-Cyrl-RS"/>
        </w:rPr>
        <w:t xml:space="preserve">, </w:t>
      </w:r>
      <w:r w:rsidR="00B86178">
        <w:rPr>
          <w:lang w:val="sr-Cyrl-RS"/>
        </w:rPr>
        <w:t>predsednik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odbora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upućuje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dopis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udruženjima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dobili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poslednja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izborna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postupka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pozivom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dostavljanje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predloga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2050ED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2050ED">
        <w:rPr>
          <w:lang w:val="sr-Cyrl-RS"/>
        </w:rPr>
        <w:t>.</w:t>
      </w:r>
    </w:p>
    <w:p w14:paraId="46ACC427" w14:textId="4995BD25" w:rsidR="001C3CA1" w:rsidRPr="0084430E" w:rsidRDefault="00B32871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Predlozi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odboru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2824C7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dopisa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lastRenderedPageBreak/>
        <w:t>Nadležnog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t>odbora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="00982438" w:rsidRPr="0084430E">
        <w:rPr>
          <w:lang w:val="sr-Cyrl-RS"/>
        </w:rPr>
        <w:t xml:space="preserve"> 2. </w:t>
      </w:r>
      <w:r w:rsidR="00B86178">
        <w:rPr>
          <w:lang w:val="sr-Cyrl-RS"/>
        </w:rPr>
        <w:t>ovog</w:t>
      </w:r>
      <w:r w:rsidR="00982438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A51927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A51927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090FC7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090FC7" w:rsidRPr="0084430E">
        <w:rPr>
          <w:lang w:val="sr-Cyrl-RS"/>
        </w:rPr>
        <w:t xml:space="preserve"> </w:t>
      </w:r>
      <w:r w:rsidR="00B86178">
        <w:rPr>
          <w:lang w:val="sr-Cyrl-RS"/>
        </w:rPr>
        <w:t>objavljivanja</w:t>
      </w:r>
      <w:r w:rsidR="00A51927" w:rsidRPr="0084430E">
        <w:rPr>
          <w:lang w:val="sr-Cyrl-RS"/>
        </w:rPr>
        <w:t xml:space="preserve"> </w:t>
      </w:r>
      <w:r w:rsidR="00B86178">
        <w:rPr>
          <w:lang w:val="sr-Cyrl-RS"/>
        </w:rPr>
        <w:t>javnog</w:t>
      </w:r>
      <w:r w:rsidR="00A51927" w:rsidRPr="0084430E">
        <w:rPr>
          <w:lang w:val="sr-Cyrl-RS"/>
        </w:rPr>
        <w:t xml:space="preserve"> </w:t>
      </w:r>
      <w:r w:rsidR="00B86178">
        <w:rPr>
          <w:lang w:val="sr-Cyrl-RS"/>
        </w:rPr>
        <w:t>poziva</w:t>
      </w:r>
      <w:r w:rsidRPr="0084430E">
        <w:rPr>
          <w:lang w:val="sr-Cyrl-RS"/>
        </w:rPr>
        <w:t>.</w:t>
      </w:r>
    </w:p>
    <w:p w14:paraId="6CEDE555" w14:textId="09FCB5C7" w:rsidR="009E3BDF" w:rsidRPr="0084430E" w:rsidRDefault="001C3CA1" w:rsidP="005105D6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sadrži</w:t>
      </w:r>
      <w:r w:rsidR="009E3BDF" w:rsidRPr="0084430E">
        <w:rPr>
          <w:lang w:val="sr-Cyrl-RS"/>
        </w:rPr>
        <w:t>:</w:t>
      </w:r>
    </w:p>
    <w:p w14:paraId="7D83CD8F" w14:textId="3D2967F4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B86178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4471E581" w14:textId="56461D79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datum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07E57C2" w14:textId="42097084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B86178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stanovanja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telefona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adresu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elektronske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pošte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69F99BC5" w14:textId="30E72A42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27D9BCCB" w14:textId="56A5F815" w:rsidR="009E3BDF" w:rsidRPr="0084430E" w:rsidRDefault="009E3BDF" w:rsidP="00090E7B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5) </w:t>
      </w:r>
      <w:r w:rsidR="00B86178">
        <w:rPr>
          <w:lang w:val="sr-Cyrl-RS"/>
        </w:rPr>
        <w:t>podatke</w:t>
      </w:r>
      <w:r w:rsidR="00090E7B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090E7B" w:rsidRPr="0084430E">
        <w:rPr>
          <w:lang w:val="sr-Cyrl-RS"/>
        </w:rPr>
        <w:t xml:space="preserve"> </w:t>
      </w:r>
      <w:r w:rsidR="00B86178">
        <w:rPr>
          <w:lang w:val="sr-Cyrl-RS"/>
        </w:rPr>
        <w:t>radnom</w:t>
      </w:r>
      <w:r w:rsidR="00090E7B" w:rsidRPr="0084430E">
        <w:rPr>
          <w:lang w:val="sr-Cyrl-RS"/>
        </w:rPr>
        <w:t xml:space="preserve"> </w:t>
      </w:r>
      <w:r w:rsidR="00B86178">
        <w:rPr>
          <w:lang w:val="sr-Cyrl-RS"/>
        </w:rPr>
        <w:t>iskustvu</w:t>
      </w:r>
      <w:r w:rsidR="00090E7B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090E7B" w:rsidRPr="0084430E">
        <w:rPr>
          <w:lang w:val="sr-Cyrl-RS"/>
        </w:rPr>
        <w:t>;</w:t>
      </w:r>
    </w:p>
    <w:p w14:paraId="672C849F" w14:textId="2DCB5884" w:rsidR="00090E7B" w:rsidRPr="0084430E" w:rsidRDefault="00090E7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6) </w:t>
      </w:r>
      <w:r w:rsidR="00B86178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31E8AF8A" w14:textId="0E86B073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dostavlja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>:</w:t>
      </w:r>
    </w:p>
    <w:p w14:paraId="46A30A90" w14:textId="00A74238" w:rsidR="004C26CB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B86178">
        <w:rPr>
          <w:lang w:val="sr-Cyrl-RS"/>
        </w:rPr>
        <w:t>pismena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saglasnost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prihvata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kandidaturu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njegovo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prezime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="004C26CB" w:rsidRPr="0084430E">
        <w:rPr>
          <w:lang w:val="sr-Cyrl-RS"/>
        </w:rPr>
        <w:t>;</w:t>
      </w:r>
    </w:p>
    <w:p w14:paraId="77D91073" w14:textId="524C1FF1" w:rsidR="009E3BDF" w:rsidRPr="0084430E" w:rsidRDefault="004C26CB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izjava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postoje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smetnje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imenovanje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B86178">
        <w:rPr>
          <w:lang w:val="sr-Cyrl-RS"/>
        </w:rPr>
        <w:t>g</w:t>
      </w:r>
      <w:r w:rsidR="006E533E" w:rsidRPr="0084430E">
        <w:rPr>
          <w:lang w:val="sr-Cyrl-RS"/>
        </w:rPr>
        <w:t xml:space="preserve"> </w:t>
      </w:r>
      <w:r w:rsidR="00B86178">
        <w:rPr>
          <w:lang w:val="sr-Cyrl-RS"/>
        </w:rPr>
        <w:t>stav</w:t>
      </w:r>
      <w:r w:rsidR="006E533E" w:rsidRPr="0084430E">
        <w:rPr>
          <w:lang w:val="sr-Cyrl-RS"/>
        </w:rPr>
        <w:t xml:space="preserve"> 2</w:t>
      </w:r>
      <w:r w:rsidR="009E3BDF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9E3BDF" w:rsidRPr="0084430E">
        <w:rPr>
          <w:lang w:val="sr-Cyrl-RS"/>
        </w:rPr>
        <w:t>;</w:t>
      </w:r>
    </w:p>
    <w:p w14:paraId="5D58F952" w14:textId="27E0DE81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3</w:t>
      </w:r>
      <w:r w:rsidRPr="0084430E">
        <w:rPr>
          <w:lang w:val="sr-Cyrl-RS"/>
        </w:rPr>
        <w:t xml:space="preserve">) </w:t>
      </w:r>
      <w:r w:rsidR="00B86178">
        <w:rPr>
          <w:lang w:val="sr-Cyrl-RS"/>
        </w:rPr>
        <w:t>isprava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očitanoj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karti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mikrokontrolerom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čipom</w:t>
      </w:r>
      <w:r w:rsidRPr="0084430E">
        <w:rPr>
          <w:lang w:val="sr-Cyrl-RS"/>
        </w:rPr>
        <w:t xml:space="preserve">),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fotokopija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karte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mikrokontrolera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3961AE35" w14:textId="2F944C6C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4</w:t>
      </w:r>
      <w:r w:rsidRPr="0084430E">
        <w:rPr>
          <w:lang w:val="sr-Cyrl-RS"/>
        </w:rPr>
        <w:t xml:space="preserve">) </w:t>
      </w:r>
      <w:r w:rsidR="00B86178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obrazovanju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;</w:t>
      </w:r>
    </w:p>
    <w:p w14:paraId="736504E9" w14:textId="1A096D99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4C26CB" w:rsidRPr="0084430E">
        <w:rPr>
          <w:lang w:val="sr-Cyrl-RS"/>
        </w:rPr>
        <w:t>5</w:t>
      </w:r>
      <w:r w:rsidRPr="0084430E">
        <w:rPr>
          <w:lang w:val="sr-Cyrl-RS"/>
        </w:rPr>
        <w:t xml:space="preserve">) </w:t>
      </w:r>
      <w:r w:rsidR="00B86178">
        <w:rPr>
          <w:lang w:val="sr-Cyrl-RS"/>
        </w:rPr>
        <w:t>dokaz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4C26CB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057A60CD" w14:textId="4BE5C4F5" w:rsidR="004D218B" w:rsidRPr="0084430E" w:rsidRDefault="004D218B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već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dokazi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stečenom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visokom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iskustvu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struci</w:t>
      </w:r>
      <w:r w:rsidRPr="0084430E">
        <w:rPr>
          <w:lang w:val="sr-Cyrl-RS"/>
        </w:rPr>
        <w:t>.</w:t>
      </w:r>
    </w:p>
    <w:p w14:paraId="42E03937" w14:textId="4EC00C16" w:rsidR="009E3BDF" w:rsidRPr="0084430E" w:rsidRDefault="001171EE" w:rsidP="00AD140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Udruženja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dostavljaju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dokaz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ispunjenosti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uslova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6E533E" w:rsidRPr="0084430E">
        <w:rPr>
          <w:lang w:val="sr-Cyrl-RS"/>
        </w:rPr>
        <w:t>22</w:t>
      </w:r>
      <w:r w:rsidR="00B86178">
        <w:rPr>
          <w:lang w:val="sr-Cyrl-RS"/>
        </w:rPr>
        <w:t>b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stav</w:t>
      </w:r>
      <w:r w:rsidR="009E3BDF" w:rsidRPr="0084430E">
        <w:rPr>
          <w:lang w:val="sr-Cyrl-RS"/>
        </w:rPr>
        <w:t xml:space="preserve"> 2. </w:t>
      </w:r>
      <w:r w:rsidR="00B86178">
        <w:rPr>
          <w:lang w:val="sr-Cyrl-RS"/>
        </w:rPr>
        <w:t>ovog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9E3BDF" w:rsidRPr="0084430E">
        <w:rPr>
          <w:lang w:val="sr-Cyrl-RS"/>
        </w:rPr>
        <w:t>.</w:t>
      </w:r>
    </w:p>
    <w:p w14:paraId="2EFFDB48" w14:textId="426A6D92" w:rsidR="00332B43" w:rsidRPr="0084430E" w:rsidRDefault="00B86178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Razmatranje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predloga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E54B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8C2D01" w14:textId="1B9A984F" w:rsidR="00012091" w:rsidRPr="0084430E" w:rsidRDefault="00B86178" w:rsidP="000120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012091" w:rsidRPr="0084430E">
        <w:rPr>
          <w:lang w:val="sr-Cyrl-RS"/>
        </w:rPr>
        <w:t>22</w:t>
      </w:r>
      <w:r>
        <w:rPr>
          <w:lang w:val="sr-Cyrl-RS"/>
        </w:rPr>
        <w:t>đ</w:t>
      </w:r>
    </w:p>
    <w:p w14:paraId="24A73CA8" w14:textId="08D12656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predlaganje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2633C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ispituje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predlagači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ispunjavaju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Pr="0084430E">
        <w:rPr>
          <w:lang w:val="sr-Cyrl-RS"/>
        </w:rPr>
        <w:t>.</w:t>
      </w:r>
    </w:p>
    <w:p w14:paraId="3ECEC2D6" w14:textId="4F342A6C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predlagača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smislu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</w:t>
      </w:r>
      <w:r w:rsidRPr="0084430E">
        <w:rPr>
          <w:lang w:val="sr-Cyrl-RS"/>
        </w:rPr>
        <w:t xml:space="preserve">. </w:t>
      </w:r>
      <w:r w:rsidR="00012091" w:rsidRPr="0084430E">
        <w:rPr>
          <w:lang w:val="sr-Cyrl-RS"/>
        </w:rPr>
        <w:t>22</w:t>
      </w:r>
      <w:r w:rsidR="00B86178">
        <w:rPr>
          <w:lang w:val="sr-Cyrl-RS"/>
        </w:rPr>
        <w:t>b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012091" w:rsidRPr="0084430E">
        <w:rPr>
          <w:lang w:val="sr-Cyrl-RS"/>
        </w:rPr>
        <w:t>22</w:t>
      </w:r>
      <w:r w:rsidR="00B86178">
        <w:rPr>
          <w:lang w:val="sr-Cyrl-RS"/>
        </w:rPr>
        <w:t>v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razmatrati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čemu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obaveštava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predloga</w:t>
      </w:r>
      <w:r w:rsidRPr="0084430E">
        <w:rPr>
          <w:lang w:val="sr-Cyrl-RS"/>
        </w:rPr>
        <w:t>.</w:t>
      </w:r>
    </w:p>
    <w:p w14:paraId="1D15625D" w14:textId="4C05D3CA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opoziciona</w:t>
      </w:r>
      <w:r w:rsidR="00792B36"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D5537D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D5537D" w:rsidRPr="0084430E">
        <w:rPr>
          <w:lang w:val="sr-Cyrl-RS"/>
        </w:rPr>
        <w:t xml:space="preserve">, </w:t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sledećoj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opozicionoj</w:t>
      </w:r>
      <w:r w:rsidR="00792B36" w:rsidRPr="0084430E">
        <w:rPr>
          <w:lang w:val="sr-Cyrl-RS"/>
        </w:rPr>
        <w:t xml:space="preserve"> </w:t>
      </w:r>
      <w:r w:rsidR="00B86178">
        <w:rPr>
          <w:lang w:val="sr-Cyrl-RS"/>
        </w:rPr>
        <w:t>poslaničkoj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veličini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pripalo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zahtevom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poslanička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1171EE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1171EE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1171EE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zahteva</w:t>
      </w:r>
      <w:r w:rsidRPr="0084430E">
        <w:rPr>
          <w:lang w:val="sr-Cyrl-RS"/>
        </w:rPr>
        <w:t>.</w:t>
      </w:r>
    </w:p>
    <w:p w14:paraId="586B3C5C" w14:textId="4D6DCAF4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blagovremeno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primljen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obratiti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pozivom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još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dopisa</w:t>
      </w:r>
      <w:r w:rsidRPr="0084430E">
        <w:rPr>
          <w:lang w:val="sr-Cyrl-RS"/>
        </w:rPr>
        <w:t>.</w:t>
      </w:r>
    </w:p>
    <w:p w14:paraId="24F78691" w14:textId="607AC3FC" w:rsidR="001171EE" w:rsidRPr="0084430E" w:rsidRDefault="001171E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blagovremeno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budu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primljeni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predlozi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više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="00E06335" w:rsidRPr="0084430E">
        <w:rPr>
          <w:lang w:val="sr-Cyrl-RS"/>
        </w:rPr>
        <w:t xml:space="preserve">, </w:t>
      </w:r>
      <w:r w:rsidR="00B86178">
        <w:rPr>
          <w:lang w:val="sr-Cyrl-RS"/>
        </w:rPr>
        <w:t>konačan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sastanku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organizuje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služba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E06335" w:rsidRPr="0084430E">
        <w:rPr>
          <w:lang w:val="sr-Cyrl-RS"/>
        </w:rPr>
        <w:t xml:space="preserve"> </w:t>
      </w:r>
      <w:r w:rsidR="00B86178">
        <w:rPr>
          <w:lang w:val="sr-Cyrl-RS"/>
        </w:rPr>
        <w:t>odbora</w:t>
      </w:r>
      <w:r w:rsidR="00E06335" w:rsidRPr="0084430E">
        <w:rPr>
          <w:lang w:val="sr-Cyrl-RS"/>
        </w:rPr>
        <w:t>.</w:t>
      </w:r>
    </w:p>
    <w:p w14:paraId="46F226CB" w14:textId="20E6003F" w:rsidR="000878CE" w:rsidRPr="0084430E" w:rsidRDefault="000878CE" w:rsidP="001171E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sastanku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5.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postignut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dogovor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učestvuju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prisutnih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Svako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najveći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glasova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smatraju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konačnim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predlogom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Ako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glasanjem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utvrditi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oba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usled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jednakog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broja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glasova</w:t>
      </w:r>
      <w:r w:rsidR="008D5506" w:rsidRPr="0084430E">
        <w:rPr>
          <w:lang w:val="sr-Cyrl-RS"/>
        </w:rPr>
        <w:t xml:space="preserve">, </w:t>
      </w:r>
      <w:r w:rsidR="00B86178">
        <w:rPr>
          <w:lang w:val="sr-Cyrl-RS"/>
        </w:rPr>
        <w:t>pristupa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žrebu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kojem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učestvuju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kandidati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dobili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jednak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broj</w:t>
      </w:r>
      <w:r w:rsidR="008D5506" w:rsidRPr="0084430E">
        <w:rPr>
          <w:lang w:val="sr-Cyrl-RS"/>
        </w:rPr>
        <w:t xml:space="preserve"> </w:t>
      </w:r>
      <w:r w:rsidR="00B86178">
        <w:rPr>
          <w:lang w:val="sr-Cyrl-RS"/>
        </w:rPr>
        <w:t>glasova</w:t>
      </w:r>
      <w:r w:rsidR="008D5506" w:rsidRPr="0084430E">
        <w:rPr>
          <w:lang w:val="sr-Cyrl-RS"/>
        </w:rPr>
        <w:t>.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Žreb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služba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odbora</w:t>
      </w:r>
      <w:r w:rsidRPr="0084430E">
        <w:rPr>
          <w:lang w:val="sr-Cyrl-RS"/>
        </w:rPr>
        <w:t>.</w:t>
      </w:r>
    </w:p>
    <w:p w14:paraId="52C7037A" w14:textId="6106D60A" w:rsidR="009E3BDF" w:rsidRPr="0084430E" w:rsidRDefault="009E3BDF" w:rsidP="00A85AF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neki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predloženih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ispunjava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D64A03"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003EC0">
        <w:rPr>
          <w:lang w:val="sr-Cyrl-RS"/>
        </w:rPr>
        <w:t xml:space="preserve"> 22</w:t>
      </w:r>
      <w:r w:rsidR="00B86178">
        <w:rPr>
          <w:lang w:val="sr-Cyrl-RS"/>
        </w:rPr>
        <w:t>g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dostaviće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predlagaču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obrazloženo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obaveštenje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pozivom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166554" w:rsidRPr="0084430E">
        <w:rPr>
          <w:lang w:val="sr-Cyrl-RS"/>
        </w:rPr>
        <w:t>15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dopisa</w:t>
      </w:r>
      <w:r w:rsidRPr="0084430E">
        <w:rPr>
          <w:lang w:val="sr-Cyrl-RS"/>
        </w:rPr>
        <w:t>.</w:t>
      </w:r>
    </w:p>
    <w:p w14:paraId="37DD2EF8" w14:textId="6EE2123F" w:rsidR="00332B43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Lista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kandidata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zamenike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B5FBD28" w14:textId="3A126B7C" w:rsidR="009E3BDF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e</w:t>
      </w:r>
    </w:p>
    <w:p w14:paraId="62E871EF" w14:textId="752F2B65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listu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deset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B86178">
        <w:rPr>
          <w:lang w:val="sr-Cyrl-RS"/>
        </w:rPr>
        <w:t>Lista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), </w:t>
      </w:r>
      <w:r w:rsidR="00B86178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razmatranje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usvajanje</w:t>
      </w:r>
      <w:r w:rsidRPr="0084430E">
        <w:rPr>
          <w:lang w:val="sr-Cyrl-RS"/>
        </w:rPr>
        <w:t>.</w:t>
      </w:r>
    </w:p>
    <w:p w14:paraId="0A67C5D4" w14:textId="20ABE878" w:rsidR="008F5ADB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Narodna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skupština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dužna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da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o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Listi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odluči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prvoj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narednoj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sednici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redovnom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zasedanju</w:t>
      </w:r>
      <w:r w:rsidR="00DF7F93" w:rsidRPr="0084430E">
        <w:rPr>
          <w:rFonts w:cs="Arial"/>
          <w:color w:val="000000"/>
          <w:szCs w:val="23"/>
          <w:shd w:val="clear" w:color="auto" w:fill="FFFFFF"/>
          <w:lang w:val="sr-Cyrl-RS"/>
        </w:rPr>
        <w:t>,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najkasnije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roku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četiri</w:t>
      </w:r>
      <w:r w:rsidR="00CD5E69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meseca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od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dana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podnošenja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Liste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 xml:space="preserve"> </w:t>
      </w:r>
      <w:r w:rsidR="00B86178">
        <w:rPr>
          <w:rFonts w:cs="Arial"/>
          <w:color w:val="000000"/>
          <w:szCs w:val="23"/>
          <w:shd w:val="clear" w:color="auto" w:fill="FFFFFF"/>
          <w:lang w:val="sr-Cyrl-RS"/>
        </w:rPr>
        <w:t>kandidata</w:t>
      </w:r>
      <w:r w:rsidR="008F5ADB" w:rsidRPr="0084430E">
        <w:rPr>
          <w:rFonts w:cs="Arial"/>
          <w:color w:val="000000"/>
          <w:szCs w:val="23"/>
          <w:shd w:val="clear" w:color="auto" w:fill="FFFFFF"/>
          <w:lang w:val="sr-Cyrl-RS"/>
        </w:rPr>
        <w:t>.</w:t>
      </w:r>
    </w:p>
    <w:p w14:paraId="4A1D0DFD" w14:textId="2EE00326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odlučuje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celini</w:t>
      </w:r>
      <w:r w:rsidRPr="0084430E">
        <w:rPr>
          <w:lang w:val="sr-Cyrl-RS"/>
        </w:rPr>
        <w:t xml:space="preserve">. </w:t>
      </w:r>
    </w:p>
    <w:p w14:paraId="57AE70AF" w14:textId="58D5EF91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usvajanje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Liste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glasa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potrebna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većina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narodnih</w:t>
      </w:r>
      <w:r w:rsidR="009750E5" w:rsidRPr="0084430E">
        <w:rPr>
          <w:lang w:val="sr-Cyrl-RS"/>
        </w:rPr>
        <w:t xml:space="preserve"> </w:t>
      </w:r>
      <w:r w:rsidR="00B86178">
        <w:rPr>
          <w:lang w:val="sr-Cyrl-RS"/>
        </w:rPr>
        <w:t>poslanika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="005D6BB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5D6BBB" w:rsidRPr="0084430E">
        <w:rPr>
          <w:lang w:val="sr-Cyrl-RS"/>
        </w:rPr>
        <w:t xml:space="preserve"> </w:t>
      </w:r>
      <w:r w:rsidR="00B86178">
        <w:rPr>
          <w:lang w:val="sr-Cyrl-RS"/>
        </w:rPr>
        <w:t>članove</w:t>
      </w:r>
      <w:r w:rsidR="005D6BB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D6BBB" w:rsidRPr="0084430E">
        <w:rPr>
          <w:lang w:val="sr-Cyrl-RS"/>
        </w:rPr>
        <w:t xml:space="preserve"> </w:t>
      </w:r>
      <w:r w:rsidR="00B86178">
        <w:rPr>
          <w:lang w:val="sr-Cyrl-RS"/>
        </w:rPr>
        <w:t>zamenike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ponavlja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5D6BBB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završetka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glasalo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kandidata</w:t>
      </w:r>
      <w:r w:rsidRPr="0084430E">
        <w:rPr>
          <w:lang w:val="sr-Cyrl-RS"/>
        </w:rPr>
        <w:t>.</w:t>
      </w:r>
    </w:p>
    <w:p w14:paraId="5A25D83E" w14:textId="1F07D71B" w:rsidR="00332B43" w:rsidRPr="0084430E" w:rsidRDefault="00B86178" w:rsidP="00332B43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Izjava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zaštiti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332B43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78E5A739" w14:textId="508E1423" w:rsidR="00D64A03" w:rsidRPr="0084430E" w:rsidRDefault="00B86178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ž</w:t>
      </w:r>
    </w:p>
    <w:p w14:paraId="1D4D3AB5" w14:textId="40A2960F" w:rsidR="00D64A03" w:rsidRPr="0084430E" w:rsidRDefault="00D64A03" w:rsidP="00D64A03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Nakon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potpisuju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poverljivosti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potvrđuju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upoznati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obavezom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prilikom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="00AF1470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E1758E"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="00E1758E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AF1470" w:rsidRPr="0084430E">
        <w:rPr>
          <w:lang w:val="sr-Cyrl-RS"/>
        </w:rPr>
        <w:t xml:space="preserve"> </w:t>
      </w:r>
      <w:r w:rsidR="00B86178">
        <w:rPr>
          <w:lang w:val="sr-Cyrl-RS"/>
        </w:rPr>
        <w:t>izvršavanju</w:t>
      </w:r>
      <w:r w:rsidR="00AF1470" w:rsidRPr="0084430E">
        <w:rPr>
          <w:lang w:val="sr-Cyrl-RS"/>
        </w:rPr>
        <w:t xml:space="preserve"> </w:t>
      </w:r>
      <w:r w:rsidR="00B86178">
        <w:rPr>
          <w:lang w:val="sr-Cyrl-RS"/>
        </w:rPr>
        <w:t>zadatka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moraju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36D1F51E" w14:textId="5D513ED7" w:rsidR="00D64A03" w:rsidRPr="0084430E" w:rsidRDefault="00D64A03" w:rsidP="00D64A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BF6A30" w:rsidRPr="0084430E">
        <w:rPr>
          <w:lang w:val="sr-Cyrl-RS"/>
        </w:rPr>
        <w:t>1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>.</w:t>
      </w:r>
    </w:p>
    <w:p w14:paraId="2FB53EB1" w14:textId="3834958D" w:rsidR="00380A91" w:rsidRPr="0084430E" w:rsidRDefault="00B86178" w:rsidP="00380A91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Mandat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zamenika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članova</w:t>
      </w:r>
      <w:r w:rsidR="00380A9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5732C804" w14:textId="77657E9F" w:rsidR="009E3BDF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z</w:t>
      </w:r>
    </w:p>
    <w:p w14:paraId="523038BD" w14:textId="1C1F2F96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zamenik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imenuju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period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pet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godin</w:t>
      </w:r>
      <w:r w:rsidRPr="0084430E">
        <w:rPr>
          <w:rFonts w:eastAsia="Arial" w:cs="Arial"/>
          <w:szCs w:val="24"/>
          <w:lang w:val="sr-Cyrl-RS"/>
        </w:rPr>
        <w:t>a</w:t>
      </w:r>
      <w:r w:rsidRPr="0084430E">
        <w:rPr>
          <w:lang w:val="sr-Cyrl-RS"/>
        </w:rPr>
        <w:t>.</w:t>
      </w:r>
    </w:p>
    <w:p w14:paraId="1EFD8B18" w14:textId="3068E543" w:rsidR="00C77ED3" w:rsidRPr="0084430E" w:rsidRDefault="00C77ED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Isto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="002A1F53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Komisiju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najviše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puta</w:t>
      </w:r>
      <w:r w:rsidRPr="0084430E">
        <w:rPr>
          <w:lang w:val="sr-Cyrl-RS"/>
        </w:rPr>
        <w:t>.</w:t>
      </w:r>
    </w:p>
    <w:p w14:paraId="7FCDE8CA" w14:textId="26AC3741" w:rsidR="00D64A03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počinje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teče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donošenja</w:t>
      </w:r>
      <w:r w:rsidR="006248D2" w:rsidRPr="0084430E"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 w:rsidR="006248D2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6248D2" w:rsidRPr="0084430E">
        <w:rPr>
          <w:lang w:val="sr-Cyrl-RS"/>
        </w:rPr>
        <w:t xml:space="preserve"> </w:t>
      </w:r>
      <w:r w:rsidR="00B86178">
        <w:rPr>
          <w:lang w:val="sr-Cyrl-RS"/>
        </w:rPr>
        <w:t>njihovom</w:t>
      </w:r>
      <w:r w:rsidR="006248D2" w:rsidRPr="0084430E">
        <w:rPr>
          <w:lang w:val="sr-Cyrl-RS"/>
        </w:rPr>
        <w:t xml:space="preserve"> </w:t>
      </w:r>
      <w:r w:rsidR="00B86178">
        <w:rPr>
          <w:lang w:val="sr-Cyrl-RS"/>
        </w:rPr>
        <w:t>imenovanju</w:t>
      </w:r>
      <w:r w:rsidR="00062B34" w:rsidRPr="0084430E">
        <w:rPr>
          <w:lang w:val="sr-Cyrl-RS"/>
        </w:rPr>
        <w:t xml:space="preserve">, </w:t>
      </w:r>
      <w:r w:rsidR="00B86178">
        <w:rPr>
          <w:lang w:val="sr-Cyrl-RS"/>
        </w:rPr>
        <w:t>a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pre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godina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prethodnog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="00062B34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6248D2" w:rsidRPr="0084430E">
        <w:rPr>
          <w:lang w:val="sr-Cyrl-RS"/>
        </w:rPr>
        <w:t>.</w:t>
      </w:r>
    </w:p>
    <w:p w14:paraId="19687BC1" w14:textId="56DFE5B3" w:rsidR="009E3BDF" w:rsidRPr="0084430E" w:rsidRDefault="00D64A03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="006248D2"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članu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zameniku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mandat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prestaje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9E3BDF" w:rsidRPr="0084430E">
        <w:rPr>
          <w:lang w:val="sr-Cyrl-RS"/>
        </w:rPr>
        <w:t xml:space="preserve">, </w:t>
      </w:r>
      <w:r w:rsidR="00B86178">
        <w:rPr>
          <w:lang w:val="sr-Cyrl-RS"/>
        </w:rPr>
        <w:t>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Narodna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službenoj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prestanak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njegovog</w:t>
      </w:r>
      <w:r w:rsidR="009E3BDF"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="009E3BDF" w:rsidRPr="0084430E">
        <w:rPr>
          <w:lang w:val="sr-Cyrl-RS"/>
        </w:rPr>
        <w:t>:</w:t>
      </w:r>
    </w:p>
    <w:p w14:paraId="58606404" w14:textId="7518F006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smrti</w:t>
      </w:r>
      <w:r w:rsidRPr="0084430E">
        <w:rPr>
          <w:lang w:val="sr-Cyrl-RS"/>
        </w:rPr>
        <w:t>;</w:t>
      </w:r>
    </w:p>
    <w:p w14:paraId="04E9E38B" w14:textId="131F6D2B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>;</w:t>
      </w:r>
    </w:p>
    <w:p w14:paraId="1BCB092A" w14:textId="3C179B7F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pravnosnažnom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sudskom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odlukom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osuđen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kaznu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zatvora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trajanju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Pr="0084430E">
        <w:rPr>
          <w:lang w:val="sr-Cyrl-RS"/>
        </w:rPr>
        <w:t>;</w:t>
      </w:r>
    </w:p>
    <w:p w14:paraId="572B568A" w14:textId="0653EBDD" w:rsidR="009E3BDF" w:rsidRPr="0084430E" w:rsidRDefault="009E3BDF" w:rsidP="00321E0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izgubi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sposobnost</w:t>
      </w:r>
      <w:r w:rsidRPr="0084430E">
        <w:rPr>
          <w:lang w:val="sr-Cyrl-RS"/>
        </w:rPr>
        <w:t>.</w:t>
      </w:r>
    </w:p>
    <w:p w14:paraId="34A3D482" w14:textId="3684A88F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razrešava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:</w:t>
      </w:r>
    </w:p>
    <w:p w14:paraId="0C1C5A0B" w14:textId="6E28AE00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ostavku</w:t>
      </w:r>
      <w:r w:rsidRPr="0084430E">
        <w:rPr>
          <w:lang w:val="sr-Cyrl-RS"/>
        </w:rPr>
        <w:t>;</w:t>
      </w:r>
    </w:p>
    <w:p w14:paraId="36B7112B" w14:textId="4CF50913" w:rsidR="009E3BDF" w:rsidRPr="0084430E" w:rsidRDefault="009E3BDF" w:rsidP="009E3BDF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ispunjava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članstvo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propisane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>;</w:t>
      </w:r>
    </w:p>
    <w:p w14:paraId="281A68CD" w14:textId="2219B869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B86178">
        <w:rPr>
          <w:lang w:val="sr-Cyrl-RS"/>
        </w:rPr>
        <w:t>ako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duže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="00A21068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prisustvuje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sednicama</w:t>
      </w:r>
      <w:r w:rsidR="0065442C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8335392" w14:textId="3D3AD40A" w:rsidR="009E3BDF" w:rsidRPr="0084430E" w:rsidRDefault="009E3BDF" w:rsidP="009E3BDF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ostavku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obliku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potpis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podnosioca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overen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overavanje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potpisa</w:t>
      </w:r>
      <w:r w:rsidRPr="0084430E">
        <w:rPr>
          <w:lang w:val="sr-Cyrl-RS"/>
        </w:rPr>
        <w:t>.</w:t>
      </w:r>
    </w:p>
    <w:p w14:paraId="0419CC61" w14:textId="6CD6DAAE" w:rsidR="00A53D7D" w:rsidRPr="0084430E" w:rsidRDefault="00B86178" w:rsidP="00A53D7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Popunjavanje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upražnjenog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mesta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A46240" w:rsidRPr="0084430E">
        <w:rPr>
          <w:lang w:val="sr-Cyrl-RS"/>
        </w:rPr>
        <w:t xml:space="preserve"> </w:t>
      </w:r>
      <w:r>
        <w:rPr>
          <w:lang w:val="sr-Cyrl-RS"/>
        </w:rPr>
        <w:t>Komisiji</w:t>
      </w:r>
    </w:p>
    <w:p w14:paraId="6CC24B86" w14:textId="60E617DC" w:rsidR="009E3BDF" w:rsidRPr="0084430E" w:rsidRDefault="00B86178" w:rsidP="009E3BDF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9E3BD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i</w:t>
      </w:r>
    </w:p>
    <w:p w14:paraId="74D84CE9" w14:textId="3919716C" w:rsidR="009E3BDF" w:rsidRPr="0084430E" w:rsidRDefault="009E3BDF" w:rsidP="009E3BD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predlagač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predložio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mandat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prestao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kada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Narodna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donela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odluku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utvrđen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prestanak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06669D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razrešen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="0006669D"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06669D" w:rsidRPr="0084430E">
        <w:rPr>
          <w:lang w:val="sr-Cyrl-RS"/>
        </w:rPr>
        <w:t>.</w:t>
      </w:r>
    </w:p>
    <w:p w14:paraId="290B82F4" w14:textId="118E7EE7" w:rsidR="00684A90" w:rsidRPr="0084430E" w:rsidRDefault="009E3BDF" w:rsidP="0006669D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="00610DA1"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shodno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primenjuju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odredbe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</w:t>
      </w:r>
      <w:r w:rsidRPr="0084430E">
        <w:rPr>
          <w:lang w:val="sr-Cyrl-RS"/>
        </w:rPr>
        <w:t xml:space="preserve">. </w:t>
      </w:r>
      <w:r w:rsidR="00610DA1" w:rsidRPr="0084430E">
        <w:rPr>
          <w:lang w:val="sr-Cyrl-RS"/>
        </w:rPr>
        <w:t>22</w:t>
      </w:r>
      <w:r w:rsidR="00B86178">
        <w:rPr>
          <w:lang w:val="sr-Cyrl-RS"/>
        </w:rPr>
        <w:t>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816391" w:rsidRPr="0084430E">
        <w:rPr>
          <w:lang w:val="sr-Cyrl-RS"/>
        </w:rPr>
        <w:t>22</w:t>
      </w:r>
      <w:r w:rsidR="00B86178">
        <w:rPr>
          <w:lang w:val="sr-Cyrl-RS"/>
        </w:rPr>
        <w:t>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39AB8B4E" w14:textId="31753BC6" w:rsidR="00816391" w:rsidRPr="0084430E" w:rsidRDefault="00610DA1" w:rsidP="0081639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Izuzetno</w:t>
      </w:r>
      <w:r w:rsidR="00C77ED3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C77ED3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C77ED3" w:rsidRPr="0084430E">
        <w:rPr>
          <w:lang w:val="sr-Cyrl-RS"/>
        </w:rPr>
        <w:t xml:space="preserve"> 22</w:t>
      </w:r>
      <w:r w:rsidR="00B86178">
        <w:rPr>
          <w:lang w:val="sr-Cyrl-RS"/>
        </w:rPr>
        <w:t>z</w:t>
      </w:r>
      <w:r w:rsidR="00C77ED3" w:rsidRPr="0084430E">
        <w:rPr>
          <w:lang w:val="sr-Cyrl-RS"/>
        </w:rPr>
        <w:t xml:space="preserve"> </w:t>
      </w:r>
      <w:r w:rsidR="00B86178">
        <w:rPr>
          <w:lang w:val="sr-Cyrl-RS"/>
        </w:rPr>
        <w:t>stav</w:t>
      </w:r>
      <w:r w:rsidR="00C77ED3" w:rsidRPr="0084430E">
        <w:rPr>
          <w:lang w:val="sr-Cyrl-RS"/>
        </w:rPr>
        <w:t xml:space="preserve"> 1. </w:t>
      </w:r>
      <w:r w:rsidR="00B86178">
        <w:rPr>
          <w:lang w:val="sr-Cyrl-RS"/>
        </w:rPr>
        <w:t>ovog</w:t>
      </w:r>
      <w:r w:rsidR="00C77ED3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C77ED3" w:rsidRPr="0084430E">
        <w:rPr>
          <w:lang w:val="sr-Cyrl-RS"/>
        </w:rPr>
        <w:t xml:space="preserve">, </w:t>
      </w:r>
      <w:r w:rsidR="00B86178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kome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mandat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prestao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usled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razrešenja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traje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E433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umesto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kojeg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06669D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06669D" w:rsidRPr="0084430E">
        <w:rPr>
          <w:lang w:val="sr-Cyrl-RS"/>
        </w:rPr>
        <w:t>.</w:t>
      </w:r>
      <w:r w:rsidR="00816391" w:rsidRPr="0084430E">
        <w:rPr>
          <w:lang w:val="sr-Cyrl-RS"/>
        </w:rPr>
        <w:t xml:space="preserve"> </w:t>
      </w:r>
    </w:p>
    <w:p w14:paraId="050BFFD0" w14:textId="65D8B9EC" w:rsidR="00684A90" w:rsidRPr="0084430E" w:rsidRDefault="00816391" w:rsidP="0080408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donošenja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prestanak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razrešen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ostalo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neće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odredbama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>.</w:t>
      </w:r>
    </w:p>
    <w:p w14:paraId="38618530" w14:textId="277FDC2C" w:rsidR="00A53D7D" w:rsidRPr="0084430E" w:rsidRDefault="00B86178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Ovlašćenja</w:t>
      </w:r>
      <w:r w:rsidR="00A53D7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03F45E0" w14:textId="1BC339A9" w:rsidR="00204B9C" w:rsidRPr="0084430E" w:rsidRDefault="00B86178" w:rsidP="00204B9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04B9C" w:rsidRPr="0084430E">
        <w:rPr>
          <w:lang w:val="sr-Cyrl-RS"/>
        </w:rPr>
        <w:t xml:space="preserve"> 22</w:t>
      </w:r>
      <w:r>
        <w:rPr>
          <w:lang w:val="sr-Cyrl-RS"/>
        </w:rPr>
        <w:t>j</w:t>
      </w:r>
    </w:p>
    <w:p w14:paraId="66686822" w14:textId="5F3A0BB0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>:</w:t>
      </w:r>
    </w:p>
    <w:p w14:paraId="4E6FBE50" w14:textId="598011A2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1) </w:t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knjiga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prebivališt</w:t>
      </w:r>
      <w:r w:rsidRPr="0084430E">
        <w:rPr>
          <w:lang w:val="sr-Cyrl-RS"/>
        </w:rPr>
        <w:t xml:space="preserve">a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boravišt</w:t>
      </w:r>
      <w:r w:rsidRPr="0084430E">
        <w:rPr>
          <w:lang w:val="sr-Cyrl-RS"/>
        </w:rPr>
        <w:t xml:space="preserve">a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Pr="0084430E">
        <w:rPr>
          <w:lang w:val="sr-Cyrl-RS"/>
        </w:rPr>
        <w:t xml:space="preserve">: </w:t>
      </w:r>
      <w:r w:rsidR="00B86178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)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nivou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ime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ime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jednog</w:t>
      </w:r>
      <w:r w:rsidR="00B81AC1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C07A31" w:rsidRPr="0084430E">
        <w:rPr>
          <w:lang w:val="sr-Cyrl-RS"/>
        </w:rPr>
        <w:t xml:space="preserve"> </w:t>
      </w:r>
      <w:r w:rsidR="00B86178">
        <w:rPr>
          <w:lang w:val="sr-Cyrl-RS"/>
        </w:rPr>
        <w:t>roditelja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prezime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mesto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adresa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prebivališta</w:t>
      </w:r>
      <w:r w:rsidRPr="0084430E">
        <w:rPr>
          <w:lang w:val="sr-Cyrl-RS"/>
        </w:rPr>
        <w:t>);</w:t>
      </w:r>
    </w:p>
    <w:p w14:paraId="2FE4D45C" w14:textId="7CDD0131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valjanost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rešenja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zasnivaju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promene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8B3AA54" w14:textId="23EA8DC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B86178">
        <w:rPr>
          <w:lang w:val="sr-Cyrl-RS"/>
        </w:rPr>
        <w:t>analizira</w:t>
      </w:r>
      <w:r w:rsidRPr="0084430E">
        <w:rPr>
          <w:lang w:val="sr-Cyrl-RS"/>
        </w:rPr>
        <w:t>/</w:t>
      </w:r>
      <w:r w:rsidR="00B86178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statističke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parametre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kretanja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F9A61B6" w14:textId="5D709123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4) </w:t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proces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autorizacije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promenama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00A34D13" w14:textId="49C4927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5)</w:t>
      </w:r>
      <w:r w:rsidRPr="0084430E">
        <w:rPr>
          <w:lang w:val="sr-Cyrl-RS"/>
        </w:rPr>
        <w:tab/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sprovedenim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inspekcijskim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nadzorima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predloženim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naloženim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merama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inspekcijskog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nadzora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Pr="0084430E">
        <w:rPr>
          <w:lang w:val="sr-Cyrl-RS"/>
        </w:rPr>
        <w:t>;</w:t>
      </w:r>
    </w:p>
    <w:p w14:paraId="13D09019" w14:textId="478E6BEA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6)</w:t>
      </w:r>
      <w:r w:rsidRPr="0084430E">
        <w:rPr>
          <w:lang w:val="sr-Cyrl-RS"/>
        </w:rPr>
        <w:tab/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kretanju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stanovništva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usklađenosti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4334B96B" w14:textId="65CFC15B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7)</w:t>
      </w:r>
      <w:r w:rsidRPr="0084430E">
        <w:rPr>
          <w:lang w:val="sr-Cyrl-RS"/>
        </w:rPr>
        <w:tab/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službenika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zaduženih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građanima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odobravanje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prebivališta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boravišta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>);</w:t>
      </w:r>
    </w:p>
    <w:p w14:paraId="58BA14E6" w14:textId="3483EAB3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8)</w:t>
      </w:r>
      <w:r w:rsidRPr="0084430E">
        <w:rPr>
          <w:lang w:val="sr-Cyrl-RS"/>
        </w:rPr>
        <w:tab/>
      </w:r>
      <w:r w:rsidR="00B86178">
        <w:rPr>
          <w:lang w:val="sr-Cyrl-RS"/>
        </w:rPr>
        <w:t>podnosi</w:t>
      </w:r>
      <w:r w:rsidR="00491B8E" w:rsidRPr="0084430E">
        <w:rPr>
          <w:lang w:val="sr-Cyrl-RS"/>
        </w:rPr>
        <w:t xml:space="preserve"> </w:t>
      </w:r>
      <w:r w:rsidR="00B86178">
        <w:rPr>
          <w:lang w:val="sr-Cyrl-RS"/>
        </w:rPr>
        <w:t>zahtev</w:t>
      </w:r>
      <w:r w:rsidR="009B3962" w:rsidRPr="001521F1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73D3E" w:rsidRPr="0084430E">
        <w:rPr>
          <w:lang w:val="sr-Cyrl-RS"/>
        </w:rPr>
        <w:t xml:space="preserve"> </w:t>
      </w:r>
      <w:r w:rsidR="00B86178">
        <w:rPr>
          <w:lang w:val="sr-Cyrl-RS"/>
        </w:rPr>
        <w:t>terensku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kontrolu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analiza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>;</w:t>
      </w:r>
    </w:p>
    <w:p w14:paraId="75C0A799" w14:textId="4C8CE9DB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9)</w:t>
      </w:r>
      <w:r w:rsidRPr="0084430E">
        <w:rPr>
          <w:lang w:val="sr-Cyrl-RS"/>
        </w:rPr>
        <w:tab/>
      </w:r>
      <w:r w:rsidR="00B86178">
        <w:rPr>
          <w:lang w:val="sr-Cyrl-RS"/>
        </w:rPr>
        <w:t>podnosi</w:t>
      </w:r>
      <w:r w:rsidR="009B3962" w:rsidRPr="0084430E">
        <w:rPr>
          <w:lang w:val="sr-Cyrl-RS"/>
        </w:rPr>
        <w:t xml:space="preserve"> </w:t>
      </w:r>
      <w:r w:rsidR="00B86178">
        <w:rPr>
          <w:lang w:val="sr-Cyrl-RS"/>
        </w:rPr>
        <w:t>zahtev</w:t>
      </w:r>
      <w:r w:rsidR="00273D3E" w:rsidRPr="001521F1">
        <w:rPr>
          <w:lang w:val="sr-Cyrl-RS"/>
        </w:rPr>
        <w:t xml:space="preserve"> </w:t>
      </w:r>
      <w:r w:rsidR="00B86178">
        <w:rPr>
          <w:lang w:val="sr-Cyrl-RS"/>
        </w:rPr>
        <w:t>ministarstvu</w:t>
      </w:r>
      <w:r w:rsidR="00346C6B" w:rsidRPr="0084430E">
        <w:rPr>
          <w:lang w:val="sr-Cyrl-RS"/>
        </w:rPr>
        <w:t xml:space="preserve"> </w:t>
      </w:r>
      <w:r w:rsidR="00B86178">
        <w:rPr>
          <w:lang w:val="sr-Cyrl-RS"/>
        </w:rPr>
        <w:t>nadležnomza</w:t>
      </w:r>
      <w:r w:rsidR="00346C6B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346C6B"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346C6B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9B3962" w:rsidRPr="0084430E">
        <w:rPr>
          <w:lang w:val="sr-Cyrl-RS"/>
        </w:rPr>
        <w:t xml:space="preserve"> </w:t>
      </w:r>
      <w:r w:rsidR="00B86178">
        <w:rPr>
          <w:lang w:val="sr-Cyrl-RS"/>
        </w:rPr>
        <w:t>otklanjanje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utvrđenih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nepravilnosti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>;</w:t>
      </w:r>
    </w:p>
    <w:p w14:paraId="7AEA95EF" w14:textId="02CD09A6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10) </w:t>
      </w:r>
      <w:r w:rsidR="00B86178">
        <w:rPr>
          <w:lang w:val="sr-Cyrl-RS"/>
        </w:rPr>
        <w:t>podnosi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zahtev</w:t>
      </w:r>
      <w:r w:rsidR="00003EC0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pokretanje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utvrđivanje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odgovornosti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utvrđivanja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činjenica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upravljanju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tačnosti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nađe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sumnje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došlo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kršenja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tako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što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povredu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prijavljuje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Pr="0084430E">
        <w:rPr>
          <w:lang w:val="sr-Cyrl-RS"/>
        </w:rPr>
        <w:t>;</w:t>
      </w:r>
    </w:p>
    <w:p w14:paraId="1486EDAF" w14:textId="352796A5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11) </w:t>
      </w:r>
      <w:r w:rsidR="00B86178">
        <w:rPr>
          <w:lang w:val="sr-Cyrl-RS"/>
        </w:rPr>
        <w:t>pribavlja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statističkim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kretanjima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prebivalištu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boravištu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pasivizaciji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relevantnim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vezi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spiskom</w:t>
      </w:r>
      <w:r w:rsidRPr="0084430E">
        <w:rPr>
          <w:lang w:val="sr-Cyrl-RS"/>
        </w:rPr>
        <w:t>;</w:t>
      </w:r>
    </w:p>
    <w:p w14:paraId="17590FCB" w14:textId="675FA667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12) </w:t>
      </w:r>
      <w:r w:rsidR="00B86178">
        <w:rPr>
          <w:lang w:val="sr-Cyrl-RS"/>
        </w:rPr>
        <w:t>donosi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periodične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statusu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4EBFA195" w14:textId="4220751F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13) </w:t>
      </w:r>
      <w:r w:rsidR="00B86178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kampanju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edukaciju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saradnji</w:t>
      </w:r>
      <w:r w:rsidR="00E60720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E60720" w:rsidRPr="0084430E">
        <w:rPr>
          <w:lang w:val="sr-Cyrl-RS"/>
        </w:rPr>
        <w:t xml:space="preserve"> </w:t>
      </w:r>
      <w:r w:rsidR="00B86178">
        <w:rPr>
          <w:lang w:val="sr-Cyrl-RS"/>
        </w:rPr>
        <w:t>javnim</w:t>
      </w:r>
      <w:r w:rsidR="00E60720" w:rsidRPr="0084430E">
        <w:rPr>
          <w:lang w:val="sr-Cyrl-RS"/>
        </w:rPr>
        <w:t xml:space="preserve"> </w:t>
      </w:r>
      <w:r w:rsidR="00B86178">
        <w:rPr>
          <w:lang w:val="sr-Cyrl-RS"/>
        </w:rPr>
        <w:t>medijskim</w:t>
      </w:r>
      <w:r w:rsidR="00E60720" w:rsidRPr="0084430E">
        <w:rPr>
          <w:lang w:val="sr-Cyrl-RS"/>
        </w:rPr>
        <w:t xml:space="preserve"> </w:t>
      </w:r>
      <w:r w:rsidR="00B86178">
        <w:rPr>
          <w:lang w:val="sr-Cyrl-RS"/>
        </w:rPr>
        <w:t>servisima</w:t>
      </w:r>
      <w:r w:rsidR="00F51A62" w:rsidRPr="0084430E">
        <w:rPr>
          <w:lang w:val="sr-Cyrl-RS"/>
        </w:rPr>
        <w:t>,</w:t>
      </w:r>
      <w:r w:rsidR="00E60720" w:rsidRPr="0084430E">
        <w:rPr>
          <w:lang w:val="sr-Cyrl-RS"/>
        </w:rPr>
        <w:t xml:space="preserve"> </w:t>
      </w:r>
      <w:r w:rsidR="00B86178">
        <w:rPr>
          <w:lang w:val="sr-Cyrl-RS"/>
        </w:rPr>
        <w:t>ministarstvom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="00F51A62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F51A62" w:rsidRPr="0084430E">
        <w:rPr>
          <w:lang w:val="sr-Cyrl-RS"/>
        </w:rPr>
        <w:t xml:space="preserve"> </w:t>
      </w:r>
      <w:r w:rsidR="00B86178">
        <w:rPr>
          <w:lang w:val="sr-Cyrl-RS"/>
        </w:rPr>
        <w:t>Republičkom</w:t>
      </w:r>
      <w:r w:rsidR="00F51A62" w:rsidRPr="0084430E">
        <w:rPr>
          <w:lang w:val="sr-Cyrl-RS"/>
        </w:rPr>
        <w:t xml:space="preserve"> </w:t>
      </w:r>
      <w:r w:rsidR="00B86178">
        <w:rPr>
          <w:lang w:val="sr-Cyrl-RS"/>
        </w:rPr>
        <w:t>izbornom</w:t>
      </w:r>
      <w:r w:rsidR="00F51A62" w:rsidRPr="0084430E">
        <w:rPr>
          <w:lang w:val="sr-Cyrl-RS"/>
        </w:rPr>
        <w:t xml:space="preserve"> </w:t>
      </w:r>
      <w:r w:rsidR="00B86178">
        <w:rPr>
          <w:lang w:val="sr-Cyrl-RS"/>
        </w:rPr>
        <w:t>komisijom</w:t>
      </w:r>
      <w:r w:rsidRPr="0084430E">
        <w:rPr>
          <w:lang w:val="sr-Cyrl-RS"/>
        </w:rPr>
        <w:t>;</w:t>
      </w:r>
    </w:p>
    <w:p w14:paraId="28A6ABDE" w14:textId="34738A84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14) </w:t>
      </w:r>
      <w:r w:rsidR="00B86178">
        <w:rPr>
          <w:lang w:val="sr-Cyrl-RS"/>
        </w:rPr>
        <w:t>inicira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saradnju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relevantnih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institucija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efikasnog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sprovođenja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D1C3C37" w14:textId="74E1F11B" w:rsidR="00204B9C" w:rsidRPr="0084430E" w:rsidRDefault="00204B9C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  <w:t xml:space="preserve">15) </w:t>
      </w:r>
      <w:r w:rsidR="00B86178">
        <w:rPr>
          <w:lang w:val="sr-Cyrl-RS"/>
        </w:rPr>
        <w:t>analizira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poredi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evidencije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5F3ED847" w14:textId="495ECAB3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16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postupanja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službenika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vode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="00204B9C"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obuke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oni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prolaze</w:t>
      </w:r>
      <w:r w:rsidR="00204B9C" w:rsidRPr="0084430E">
        <w:rPr>
          <w:lang w:val="sr-Cyrl-RS"/>
        </w:rPr>
        <w:t>;</w:t>
      </w:r>
    </w:p>
    <w:p w14:paraId="08FC14E1" w14:textId="3ABED6E3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17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opremu</w:t>
      </w:r>
      <w:r w:rsidR="00204B9C" w:rsidRPr="0084430E">
        <w:rPr>
          <w:lang w:val="sr-Cyrl-RS"/>
        </w:rPr>
        <w:t xml:space="preserve"> (</w:t>
      </w:r>
      <w:r w:rsidR="00B86178">
        <w:rPr>
          <w:lang w:val="sr-Cyrl-RS"/>
        </w:rPr>
        <w:t>softver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hardver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nivou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specifikacije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opreme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koju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službenici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koriste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9B9C398" w14:textId="0DB1B6DB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18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bezbednost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baza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osnovu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tehničkih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opisa</w:t>
      </w:r>
      <w:r w:rsidR="00204B9C" w:rsidRPr="0084430E">
        <w:rPr>
          <w:lang w:val="sr-Cyrl-RS"/>
        </w:rPr>
        <w:t xml:space="preserve"> (</w:t>
      </w:r>
      <w:r w:rsidR="00B86178">
        <w:rPr>
          <w:lang w:val="sr-Cyrl-RS"/>
        </w:rPr>
        <w:t>prostorije</w:t>
      </w:r>
      <w:r w:rsidR="00204B9C" w:rsidRPr="0084430E">
        <w:rPr>
          <w:lang w:val="sr-Cyrl-RS"/>
        </w:rPr>
        <w:t xml:space="preserve">, </w:t>
      </w:r>
      <w:r w:rsidR="00B86178">
        <w:rPr>
          <w:lang w:val="sr-Cyrl-RS"/>
        </w:rPr>
        <w:t>serveri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76917F79" w14:textId="1A46C1E1" w:rsidR="00204B9C" w:rsidRPr="0084430E" w:rsidRDefault="00B850F0" w:rsidP="00204B9C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19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pravni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okvir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način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04B9C" w:rsidRPr="0084430E">
        <w:rPr>
          <w:lang w:val="sr-Cyrl-RS"/>
        </w:rPr>
        <w:t>;</w:t>
      </w:r>
    </w:p>
    <w:p w14:paraId="46D43C51" w14:textId="48EB6B8A" w:rsidR="00204B9C" w:rsidRPr="0084430E" w:rsidRDefault="00B850F0" w:rsidP="00B850F0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>20</w:t>
      </w:r>
      <w:r w:rsidR="00204B9C" w:rsidRPr="0084430E">
        <w:rPr>
          <w:lang w:val="sr-Cyrl-RS"/>
        </w:rPr>
        <w:t xml:space="preserve">) </w:t>
      </w:r>
      <w:r w:rsidR="00B86178">
        <w:rPr>
          <w:lang w:val="sr-Cyrl-RS"/>
        </w:rPr>
        <w:t>analizira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republičkog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zaduženi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statistike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poredi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evidencija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vođenje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04B9C"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204B9C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>;</w:t>
      </w:r>
    </w:p>
    <w:p w14:paraId="100AB008" w14:textId="52FE3E9D" w:rsidR="00683DAD" w:rsidRDefault="00B850F0" w:rsidP="00683DAD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21) </w:t>
      </w:r>
      <w:r w:rsidR="00B86178">
        <w:rPr>
          <w:lang w:val="sr-Cyrl-RS"/>
        </w:rPr>
        <w:t>sprovodi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D4FA6" w:rsidRPr="0084430E">
        <w:rPr>
          <w:lang w:val="sr-Cyrl-RS"/>
        </w:rPr>
        <w:t xml:space="preserve"> </w:t>
      </w:r>
      <w:r w:rsidR="00B86178">
        <w:rPr>
          <w:lang w:val="sr-Cyrl-RS"/>
        </w:rPr>
        <w:t>druge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analize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utvrdio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stepen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integriteta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1E074C" w:rsidRPr="001521F1">
        <w:rPr>
          <w:lang w:val="sr-Cyrl-RS"/>
        </w:rPr>
        <w:t>;</w:t>
      </w:r>
    </w:p>
    <w:p w14:paraId="3BB32FD7" w14:textId="7472ADFC" w:rsidR="00B83944" w:rsidRPr="0084430E" w:rsidRDefault="00B83944" w:rsidP="00F55F41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22) </w:t>
      </w:r>
      <w:r w:rsidR="00B86178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pitanjima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nadležnosti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;</w:t>
      </w:r>
    </w:p>
    <w:p w14:paraId="643F0F5D" w14:textId="58CB7ACD" w:rsidR="001E074C" w:rsidRDefault="001E074C" w:rsidP="00BC6416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3944" w:rsidRPr="0084430E">
        <w:rPr>
          <w:lang w:val="sr-Cyrl-RS"/>
        </w:rPr>
        <w:t>23</w:t>
      </w:r>
      <w:r w:rsidRPr="0084430E">
        <w:rPr>
          <w:lang w:val="sr-Cyrl-RS"/>
        </w:rPr>
        <w:t xml:space="preserve">) </w:t>
      </w:r>
      <w:r w:rsidR="00B86178">
        <w:rPr>
          <w:lang w:val="sr-Cyrl-RS"/>
        </w:rPr>
        <w:t>prati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primenu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="00F43B99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F43B99"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="00F43B99"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="00BC6416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BC6416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BC6416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BC6416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="00BC6416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="00BC6416">
        <w:rPr>
          <w:lang w:val="sr-Cyrl-RS"/>
        </w:rPr>
        <w:t>;</w:t>
      </w:r>
    </w:p>
    <w:p w14:paraId="71EF3466" w14:textId="320F1DD9" w:rsidR="00BC6416" w:rsidRDefault="00BC6416" w:rsidP="00BC641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  <w:t xml:space="preserve">24) </w:t>
      </w:r>
      <w:r w:rsidR="00B86178">
        <w:rPr>
          <w:lang w:val="sr-Cyrl-RS"/>
        </w:rPr>
        <w:t>donosi</w:t>
      </w:r>
      <w:r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>
        <w:rPr>
          <w:lang w:val="sr-Cyrl-RS"/>
        </w:rPr>
        <w:t xml:space="preserve"> </w:t>
      </w:r>
      <w:r w:rsidR="00B86178">
        <w:rPr>
          <w:lang w:val="sr-Cyrl-RS"/>
        </w:rPr>
        <w:t>o</w:t>
      </w:r>
      <w:r>
        <w:rPr>
          <w:lang w:val="sr-Cyrl-RS"/>
        </w:rPr>
        <w:t xml:space="preserve"> </w:t>
      </w:r>
      <w:r w:rsidR="00B86178">
        <w:rPr>
          <w:lang w:val="sr-Cyrl-RS"/>
        </w:rPr>
        <w:t>obavljenoj</w:t>
      </w:r>
      <w:r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>
        <w:rPr>
          <w:lang w:val="sr-Cyrl-RS"/>
        </w:rPr>
        <w:t xml:space="preserve"> </w:t>
      </w:r>
      <w:r w:rsidR="00B86178">
        <w:rPr>
          <w:lang w:val="sr-Cyrl-RS"/>
        </w:rPr>
        <w:t>kao</w:t>
      </w:r>
      <w:r>
        <w:rPr>
          <w:lang w:val="sr-Cyrl-RS"/>
        </w:rPr>
        <w:t xml:space="preserve"> </w:t>
      </w:r>
      <w:r w:rsidR="00B86178">
        <w:rPr>
          <w:lang w:val="sr-Cyrl-RS"/>
        </w:rPr>
        <w:t>i</w:t>
      </w:r>
      <w:r>
        <w:rPr>
          <w:lang w:val="sr-Cyrl-RS"/>
        </w:rPr>
        <w:t xml:space="preserve"> </w:t>
      </w:r>
      <w:r w:rsidR="00B86178">
        <w:rPr>
          <w:lang w:val="sr-Cyrl-RS"/>
        </w:rPr>
        <w:t>posebne</w:t>
      </w:r>
      <w:r>
        <w:rPr>
          <w:lang w:val="sr-Cyrl-RS"/>
        </w:rPr>
        <w:t xml:space="preserve"> </w:t>
      </w:r>
      <w:r w:rsidR="00B86178">
        <w:rPr>
          <w:lang w:val="sr-Cyrl-RS"/>
        </w:rPr>
        <w:t>izveštaje</w:t>
      </w:r>
      <w:r>
        <w:rPr>
          <w:lang w:val="sr-Cyrl-RS"/>
        </w:rPr>
        <w:t xml:space="preserve">, </w:t>
      </w:r>
      <w:r w:rsidR="00B86178">
        <w:rPr>
          <w:lang w:val="sr-Cyrl-RS"/>
        </w:rPr>
        <w:t>u</w:t>
      </w:r>
      <w:r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>
        <w:rPr>
          <w:lang w:val="sr-Cyrl-RS"/>
        </w:rPr>
        <w:t xml:space="preserve"> </w:t>
      </w:r>
      <w:r w:rsidR="00B86178">
        <w:rPr>
          <w:lang w:val="sr-Cyrl-RS"/>
        </w:rPr>
        <w:t>sa</w:t>
      </w:r>
      <w:r>
        <w:rPr>
          <w:lang w:val="sr-Cyrl-RS"/>
        </w:rPr>
        <w:t xml:space="preserve"> </w:t>
      </w:r>
      <w:r w:rsidR="00B86178">
        <w:rPr>
          <w:lang w:val="sr-Cyrl-RS"/>
        </w:rPr>
        <w:t>ovim</w:t>
      </w:r>
      <w:r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>
        <w:rPr>
          <w:lang w:val="sr-Cyrl-RS"/>
        </w:rPr>
        <w:t>.</w:t>
      </w:r>
    </w:p>
    <w:p w14:paraId="2BF23301" w14:textId="77AB0A6B" w:rsidR="00BC6416" w:rsidRDefault="00BC6416" w:rsidP="00BC6416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B86178">
        <w:rPr>
          <w:lang w:val="sr-Cyrl-RS"/>
        </w:rPr>
        <w:t>Za</w:t>
      </w:r>
      <w:r>
        <w:rPr>
          <w:lang w:val="sr-Cyrl-RS"/>
        </w:rPr>
        <w:t xml:space="preserve"> </w:t>
      </w:r>
      <w:r w:rsidR="00B86178">
        <w:rPr>
          <w:lang w:val="sr-Cyrl-RS"/>
        </w:rPr>
        <w:t>vršenje</w:t>
      </w:r>
      <w:r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>
        <w:rPr>
          <w:lang w:val="sr-Cyrl-RS"/>
        </w:rPr>
        <w:t xml:space="preserve"> </w:t>
      </w:r>
      <w:r w:rsidR="00B86178">
        <w:rPr>
          <w:lang w:val="sr-Cyrl-RS"/>
        </w:rPr>
        <w:t>iz</w:t>
      </w:r>
      <w:r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>
        <w:rPr>
          <w:lang w:val="sr-Cyrl-RS"/>
        </w:rPr>
        <w:t xml:space="preserve"> 1. </w:t>
      </w:r>
      <w:r w:rsidR="00B86178">
        <w:rPr>
          <w:lang w:val="sr-Cyrl-RS"/>
        </w:rPr>
        <w:t>tač</w:t>
      </w:r>
      <w:r>
        <w:rPr>
          <w:lang w:val="sr-Cyrl-RS"/>
        </w:rPr>
        <w:t xml:space="preserve">. 1)-7), 11), 13)-21) </w:t>
      </w:r>
      <w:r w:rsidR="00B86178">
        <w:rPr>
          <w:lang w:val="sr-Cyrl-RS"/>
        </w:rPr>
        <w:t>i</w:t>
      </w:r>
      <w:r>
        <w:rPr>
          <w:lang w:val="sr-Cyrl-RS"/>
        </w:rPr>
        <w:t xml:space="preserve"> 23) </w:t>
      </w:r>
      <w:r w:rsidR="00B86178">
        <w:rPr>
          <w:lang w:val="sr-Cyrl-RS"/>
        </w:rPr>
        <w:t>ovog</w:t>
      </w:r>
      <w:r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>
        <w:rPr>
          <w:lang w:val="sr-Cyrl-RS"/>
        </w:rPr>
        <w:t xml:space="preserve"> </w:t>
      </w:r>
      <w:r w:rsidR="00B86178">
        <w:rPr>
          <w:lang w:val="sr-Cyrl-RS"/>
        </w:rPr>
        <w:t>ne</w:t>
      </w:r>
      <w:r>
        <w:rPr>
          <w:lang w:val="sr-Cyrl-RS"/>
        </w:rPr>
        <w:t xml:space="preserve"> </w:t>
      </w:r>
      <w:r w:rsidR="00B86178">
        <w:rPr>
          <w:lang w:val="sr-Cyrl-RS"/>
        </w:rPr>
        <w:t>donosi</w:t>
      </w:r>
      <w:r>
        <w:rPr>
          <w:lang w:val="sr-Cyrl-RS"/>
        </w:rPr>
        <w:t xml:space="preserve"> </w:t>
      </w:r>
      <w:r w:rsidR="00B86178">
        <w:rPr>
          <w:lang w:val="sr-Cyrl-RS"/>
        </w:rPr>
        <w:t>se</w:t>
      </w:r>
      <w:r>
        <w:rPr>
          <w:lang w:val="sr-Cyrl-RS"/>
        </w:rPr>
        <w:t xml:space="preserve"> </w:t>
      </w:r>
      <w:r w:rsidR="00B86178">
        <w:rPr>
          <w:lang w:val="sr-Cyrl-RS"/>
        </w:rPr>
        <w:t>posebna</w:t>
      </w:r>
      <w:r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>
        <w:rPr>
          <w:lang w:val="sr-Cyrl-RS"/>
        </w:rPr>
        <w:t>.</w:t>
      </w:r>
    </w:p>
    <w:p w14:paraId="623D4ED4" w14:textId="1AEB6A75" w:rsidR="00214EED" w:rsidRPr="0084430E" w:rsidRDefault="00214EED" w:rsidP="00204B9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vršenju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uvida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osim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jedinstvenog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matičnog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broja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putem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modula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prijavu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dvofaktorskom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autentikacijom</w:t>
      </w:r>
      <w:r w:rsidRPr="0084430E">
        <w:rPr>
          <w:lang w:val="sr-Cyrl-RS"/>
        </w:rPr>
        <w:t>.</w:t>
      </w:r>
    </w:p>
    <w:p w14:paraId="6506185E" w14:textId="7BC26CEA" w:rsidR="00204B9C" w:rsidRPr="0084430E" w:rsidRDefault="00204B9C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rFonts w:eastAsia="Arial" w:cs="Arial"/>
          <w:color w:val="000000"/>
          <w:szCs w:val="24"/>
          <w:lang w:val="sr-Cyrl-RS"/>
        </w:rPr>
        <w:t>Svi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organi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državne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teritorijalne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autonomije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jedinica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lokalne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samouprave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dužni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da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odluče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zahtevu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Komisije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kao</w:t>
      </w:r>
      <w:r w:rsidR="00CC4AC6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njen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zahtev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dostave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podatke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informacije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značaja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vođenje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biračkog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spiska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promene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odnose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utvrđivanje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tačnosti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izvršenih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upisa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odnosno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promena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biračkom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spisku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35E1C9EE" w14:textId="7B967A76" w:rsidR="00392322" w:rsidRPr="0084430E" w:rsidRDefault="00392322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rFonts w:eastAsia="Arial" w:cs="Arial"/>
          <w:color w:val="000000"/>
          <w:szCs w:val="24"/>
          <w:lang w:val="sr-Cyrl-RS"/>
        </w:rPr>
        <w:t>Član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odnosno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zamenik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člana</w:t>
      </w:r>
      <w:r w:rsidR="008C7A44"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pravo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prisustvuje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terenskoj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kontroli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B86178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8) </w:t>
      </w:r>
      <w:r w:rsidR="00B86178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. </w:t>
      </w:r>
    </w:p>
    <w:p w14:paraId="320C8C00" w14:textId="00A1E1B4" w:rsidR="00273D3E" w:rsidRPr="0084430E" w:rsidRDefault="00273D3E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rFonts w:eastAsia="Arial" w:cs="Arial"/>
          <w:color w:val="000000"/>
          <w:szCs w:val="24"/>
          <w:lang w:val="sr-Cyrl-RS"/>
        </w:rPr>
        <w:t>Ministarstvo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nadležno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poslove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uprave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dužno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izvesti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postupanju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po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zahtevu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iz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stava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1. </w:t>
      </w:r>
      <w:r w:rsidR="00B86178">
        <w:rPr>
          <w:rFonts w:eastAsia="Arial" w:cs="Arial"/>
          <w:color w:val="000000"/>
          <w:szCs w:val="24"/>
          <w:lang w:val="sr-Cyrl-RS"/>
        </w:rPr>
        <w:t>tačka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9) </w:t>
      </w:r>
      <w:r w:rsidR="00B86178">
        <w:rPr>
          <w:rFonts w:eastAsia="Arial" w:cs="Arial"/>
          <w:color w:val="000000"/>
          <w:szCs w:val="24"/>
          <w:lang w:val="sr-Cyrl-RS"/>
        </w:rPr>
        <w:t>ovog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člana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roku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30 </w:t>
      </w:r>
      <w:r w:rsidR="00B86178">
        <w:rPr>
          <w:rFonts w:eastAsia="Arial" w:cs="Arial"/>
          <w:color w:val="000000"/>
          <w:szCs w:val="24"/>
          <w:lang w:val="sr-Cyrl-RS"/>
        </w:rPr>
        <w:t>dana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od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prijema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zahteva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Komisije</w:t>
      </w:r>
      <w:r w:rsidRPr="0084430E">
        <w:rPr>
          <w:rFonts w:eastAsia="Arial" w:cs="Arial"/>
          <w:color w:val="000000"/>
          <w:szCs w:val="24"/>
          <w:lang w:val="sr-Cyrl-RS"/>
        </w:rPr>
        <w:t>.</w:t>
      </w:r>
    </w:p>
    <w:p w14:paraId="26639BFE" w14:textId="3D7B99A4" w:rsidR="004F6615" w:rsidRPr="0084430E" w:rsidRDefault="004F6615" w:rsidP="00974455">
      <w:pPr>
        <w:tabs>
          <w:tab w:val="left" w:pos="1170"/>
        </w:tabs>
        <w:spacing w:after="120"/>
        <w:jc w:val="both"/>
        <w:rPr>
          <w:rFonts w:eastAsia="Arial" w:cs="Arial"/>
          <w:color w:val="000000"/>
          <w:szCs w:val="24"/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rFonts w:eastAsia="Arial" w:cs="Arial"/>
          <w:color w:val="000000"/>
          <w:szCs w:val="24"/>
          <w:lang w:val="sr-Cyrl-RS"/>
        </w:rPr>
        <w:t>Komisija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donosi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svoj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poslovnik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, </w:t>
      </w:r>
      <w:r w:rsidR="00B86178">
        <w:rPr>
          <w:rFonts w:eastAsia="Arial" w:cs="Arial"/>
          <w:color w:val="000000"/>
          <w:szCs w:val="24"/>
          <w:lang w:val="sr-Cyrl-RS"/>
        </w:rPr>
        <w:t>kojim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bliže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uređuje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organizaciju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i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način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svoga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 </w:t>
      </w:r>
      <w:r w:rsidR="00B86178">
        <w:rPr>
          <w:rFonts w:eastAsia="Arial" w:cs="Arial"/>
          <w:color w:val="000000"/>
          <w:szCs w:val="24"/>
          <w:lang w:val="sr-Cyrl-RS"/>
        </w:rPr>
        <w:t>rada</w:t>
      </w:r>
      <w:r w:rsidRPr="0084430E">
        <w:rPr>
          <w:rFonts w:eastAsia="Arial" w:cs="Arial"/>
          <w:color w:val="000000"/>
          <w:szCs w:val="24"/>
          <w:lang w:val="sr-Cyrl-RS"/>
        </w:rPr>
        <w:t xml:space="preserve">. </w:t>
      </w:r>
    </w:p>
    <w:p w14:paraId="56641765" w14:textId="32429BC9" w:rsidR="006B403D" w:rsidRPr="0084430E" w:rsidRDefault="00346C6B" w:rsidP="00346C6B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rFonts w:eastAsia="Arial" w:cs="Arial"/>
          <w:color w:val="000000"/>
          <w:szCs w:val="24"/>
          <w:lang w:val="sr-Cyrl-RS"/>
        </w:rPr>
        <w:tab/>
      </w:r>
      <w:r w:rsidR="00B86178">
        <w:rPr>
          <w:lang w:val="sr-Cyrl-RS"/>
        </w:rPr>
        <w:t>Postupak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revizije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bliže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posebnim</w:t>
      </w:r>
      <w:r w:rsidR="004F6615" w:rsidRPr="0084430E">
        <w:rPr>
          <w:lang w:val="sr-Cyrl-RS"/>
        </w:rPr>
        <w:t xml:space="preserve"> </w:t>
      </w:r>
      <w:r w:rsidR="00B86178">
        <w:rPr>
          <w:lang w:val="sr-Cyrl-RS"/>
        </w:rPr>
        <w:t>aktom</w:t>
      </w:r>
      <w:r w:rsidR="006B403D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6B403D" w:rsidRPr="0084430E">
        <w:rPr>
          <w:lang w:val="sr-Cyrl-RS"/>
        </w:rPr>
        <w:t>.</w:t>
      </w:r>
    </w:p>
    <w:p w14:paraId="58E25967" w14:textId="78053913" w:rsidR="00CC5CE6" w:rsidRPr="0084430E" w:rsidRDefault="00B86178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Izveštaj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reviziji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biračkog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spiska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posebni</w:t>
      </w:r>
      <w:r w:rsidR="00D65DC8" w:rsidRPr="0084430E">
        <w:rPr>
          <w:lang w:val="sr-Cyrl-RS"/>
        </w:rPr>
        <w:t xml:space="preserve"> </w:t>
      </w:r>
      <w:r>
        <w:rPr>
          <w:lang w:val="sr-Cyrl-RS"/>
        </w:rPr>
        <w:t>izveštaji</w:t>
      </w:r>
    </w:p>
    <w:p w14:paraId="7E8CAAD7" w14:textId="33D46DC0" w:rsidR="00AF1299" w:rsidRPr="0084430E" w:rsidRDefault="00B86178" w:rsidP="00AF129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F1299" w:rsidRPr="0084430E">
        <w:rPr>
          <w:lang w:val="sr-Cyrl-RS"/>
        </w:rPr>
        <w:t xml:space="preserve"> 22</w:t>
      </w:r>
      <w:r>
        <w:rPr>
          <w:lang w:val="sr-Cyrl-RS"/>
        </w:rPr>
        <w:t>k</w:t>
      </w:r>
    </w:p>
    <w:p w14:paraId="6E9A3594" w14:textId="2ED36B42" w:rsidR="00D65DC8" w:rsidRPr="0084430E" w:rsidRDefault="004B77E6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obavljenoj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D65DC8" w:rsidRPr="0084430E">
        <w:rPr>
          <w:lang w:val="sr-Cyrl-RS"/>
        </w:rPr>
        <w:t xml:space="preserve">, </w:t>
      </w:r>
      <w:r w:rsidR="00B86178">
        <w:rPr>
          <w:lang w:val="sr-Cyrl-RS"/>
        </w:rPr>
        <w:t>Komisija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podnosi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svake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dve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godine</w:t>
      </w:r>
      <w:r w:rsidR="00D65DC8" w:rsidRPr="0084430E">
        <w:rPr>
          <w:lang w:val="sr-Cyrl-RS"/>
        </w:rPr>
        <w:t xml:space="preserve">, </w:t>
      </w:r>
      <w:r w:rsidR="00B86178">
        <w:rPr>
          <w:lang w:val="sr-Cyrl-RS"/>
        </w:rPr>
        <w:t>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najkasnije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šest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pre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roka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raspisivanja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redovnih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poslanike</w:t>
      </w:r>
      <w:r w:rsidR="00D65DC8" w:rsidRPr="0084430E">
        <w:rPr>
          <w:lang w:val="sr-Cyrl-RS"/>
        </w:rPr>
        <w:t xml:space="preserve"> 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redovnih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="00CC4AC6" w:rsidRPr="0084430E">
        <w:rPr>
          <w:lang w:val="sr-Cyrl-RS"/>
        </w:rPr>
        <w:t xml:space="preserve"> </w:t>
      </w:r>
      <w:r w:rsidR="00B86178">
        <w:rPr>
          <w:lang w:val="sr-Cyrl-RS"/>
        </w:rPr>
        <w:t>Republike</w:t>
      </w:r>
      <w:r w:rsidR="00CC4AC6" w:rsidRPr="0084430E">
        <w:rPr>
          <w:lang w:val="sr-Cyrl-RS"/>
        </w:rPr>
        <w:t xml:space="preserve"> </w:t>
      </w:r>
      <w:r w:rsidR="00D65DC8" w:rsidRPr="0084430E">
        <w:rPr>
          <w:lang w:val="sr-Cyrl-RS"/>
        </w:rPr>
        <w:t>(</w:t>
      </w:r>
      <w:r w:rsidR="00B86178">
        <w:rPr>
          <w:lang w:val="sr-Cyrl-RS"/>
        </w:rPr>
        <w:t>u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="00D65DC8" w:rsidRPr="0084430E">
        <w:rPr>
          <w:lang w:val="sr-Cyrl-RS"/>
        </w:rPr>
        <w:t xml:space="preserve">: </w:t>
      </w:r>
      <w:r w:rsidR="00B86178">
        <w:rPr>
          <w:lang w:val="sr-Cyrl-RS"/>
        </w:rPr>
        <w:t>Izveštaj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="00D65DC8" w:rsidRPr="0084430E">
        <w:rPr>
          <w:lang w:val="sr-Cyrl-RS"/>
        </w:rPr>
        <w:t>).</w:t>
      </w:r>
    </w:p>
    <w:p w14:paraId="687A8D41" w14:textId="7D619ECC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sadrži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organizacijama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unapređenje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2A6E7D">
        <w:rPr>
          <w:lang w:val="sr-Cyrl-RS"/>
        </w:rPr>
        <w:t xml:space="preserve">, </w:t>
      </w:r>
      <w:r w:rsidR="00B86178">
        <w:rPr>
          <w:lang w:val="sr-Cyrl-RS"/>
        </w:rPr>
        <w:t>sa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preciznom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specifikacijom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organ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organizaciju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preporuka</w:t>
      </w:r>
      <w:r w:rsidR="002A6E7D">
        <w:rPr>
          <w:lang w:val="sr-Cyrl-RS"/>
        </w:rPr>
        <w:t xml:space="preserve"> </w:t>
      </w:r>
      <w:r w:rsidR="00B86178">
        <w:rPr>
          <w:lang w:val="sr-Cyrl-RS"/>
        </w:rPr>
        <w:t>odnosi</w:t>
      </w:r>
      <w:r w:rsidRPr="0084430E">
        <w:rPr>
          <w:lang w:val="sr-Cyrl-RS"/>
        </w:rPr>
        <w:t>.</w:t>
      </w:r>
    </w:p>
    <w:p w14:paraId="4089F4A5" w14:textId="4ACFF6C3" w:rsidR="00D65DC8" w:rsidRPr="0084430E" w:rsidRDefault="00D65DC8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organizacije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tome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podnesu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2E6A46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120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1A54A525" w14:textId="370EB4EF" w:rsidR="00D65DC8" w:rsidRPr="0084430E" w:rsidRDefault="00EA5AA1" w:rsidP="00E86A00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Tokom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obavljanja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revizije</w:t>
      </w:r>
      <w:r w:rsidR="00D65DC8" w:rsidRPr="0084430E">
        <w:rPr>
          <w:lang w:val="sr-Cyrl-RS"/>
        </w:rPr>
        <w:t xml:space="preserve">, </w:t>
      </w:r>
      <w:r w:rsidR="00B86178">
        <w:rPr>
          <w:lang w:val="sr-Cyrl-RS"/>
        </w:rPr>
        <w:t>Komisija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donese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posebne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izveštaje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nadležnim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organizacijama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unapređenje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ažuriranja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D65DC8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CF2C5D" w:rsidRPr="0084430E">
        <w:rPr>
          <w:lang w:val="sr-Cyrl-RS"/>
        </w:rPr>
        <w:t xml:space="preserve"> (</w:t>
      </w:r>
      <w:r w:rsidR="00B86178">
        <w:rPr>
          <w:lang w:val="sr-Cyrl-RS"/>
        </w:rPr>
        <w:t>u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daljem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tekstu</w:t>
      </w:r>
      <w:r w:rsidR="00CF2C5D" w:rsidRPr="0084430E">
        <w:rPr>
          <w:lang w:val="sr-Cyrl-RS"/>
        </w:rPr>
        <w:t xml:space="preserve">: </w:t>
      </w:r>
      <w:r w:rsidR="00B86178">
        <w:rPr>
          <w:lang w:val="sr-Cyrl-RS"/>
        </w:rPr>
        <w:t>Posebni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="00CF2C5D" w:rsidRPr="0084430E">
        <w:rPr>
          <w:lang w:val="sr-Cyrl-RS"/>
        </w:rPr>
        <w:t>)</w:t>
      </w:r>
      <w:r w:rsidR="00D65DC8" w:rsidRPr="0084430E">
        <w:rPr>
          <w:lang w:val="sr-Cyrl-RS"/>
        </w:rPr>
        <w:t>.</w:t>
      </w:r>
    </w:p>
    <w:p w14:paraId="3C503FCD" w14:textId="62EB2018" w:rsidR="00EA5AA1" w:rsidRPr="0084430E" w:rsidRDefault="00EA5AA1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Organ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organizacija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koju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postupi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tome</w:t>
      </w:r>
      <w:r w:rsidR="00EE1D24" w:rsidRPr="0084430E">
        <w:rPr>
          <w:lang w:val="sr-Cyrl-RS"/>
        </w:rPr>
        <w:t xml:space="preserve"> </w:t>
      </w:r>
      <w:r w:rsidR="00B86178">
        <w:rPr>
          <w:lang w:val="sr-Cyrl-RS"/>
        </w:rPr>
        <w:t>podnese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120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>.</w:t>
      </w:r>
    </w:p>
    <w:p w14:paraId="277E5A98" w14:textId="5B6009B8" w:rsidR="00EE1D24" w:rsidRPr="0084430E" w:rsidRDefault="00EE1D24" w:rsidP="00D65DC8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Posebni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sastavni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3678B79F" w14:textId="77567D5C" w:rsidR="00CC5CE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Praćenje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primene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preporuka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podnošenje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izveštaja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Narodnoj</w:t>
      </w:r>
      <w:r w:rsidR="00844113" w:rsidRPr="0084430E">
        <w:rPr>
          <w:lang w:val="sr-Cyrl-RS"/>
        </w:rPr>
        <w:t xml:space="preserve"> </w:t>
      </w:r>
      <w:r>
        <w:rPr>
          <w:lang w:val="sr-Cyrl-RS"/>
        </w:rPr>
        <w:t>skupštini</w:t>
      </w:r>
    </w:p>
    <w:p w14:paraId="50291724" w14:textId="04CEBCC1" w:rsidR="0031303B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F264EB" w:rsidRPr="0084430E">
        <w:rPr>
          <w:lang w:val="sr-Cyrl-RS"/>
        </w:rPr>
        <w:t xml:space="preserve"> 22</w:t>
      </w:r>
      <w:r>
        <w:rPr>
          <w:lang w:val="sr-Cyrl-RS"/>
        </w:rPr>
        <w:t>l</w:t>
      </w:r>
    </w:p>
    <w:p w14:paraId="5369ABC0" w14:textId="3D2EFE26" w:rsidR="00AA05DF" w:rsidRPr="0084430E" w:rsidRDefault="00844113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Komisija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prati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primenu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preporuka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razmatra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izveštaje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postupanju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joj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podnose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nadležni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organi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AA05DF" w:rsidRPr="0084430E">
        <w:rPr>
          <w:lang w:val="sr-Cyrl-RS"/>
        </w:rPr>
        <w:t xml:space="preserve"> </w:t>
      </w:r>
      <w:r w:rsidR="00B86178">
        <w:rPr>
          <w:lang w:val="sr-Cyrl-RS"/>
        </w:rPr>
        <w:t>organizacije</w:t>
      </w:r>
      <w:r w:rsidR="00AA05DF" w:rsidRPr="0084430E">
        <w:rPr>
          <w:lang w:val="sr-Cyrl-RS"/>
        </w:rPr>
        <w:t>.</w:t>
      </w:r>
    </w:p>
    <w:p w14:paraId="17EEBF44" w14:textId="4D3484B3" w:rsidR="00224D86" w:rsidRPr="0084430E" w:rsidRDefault="00224D86" w:rsidP="00DE0384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D52D32">
        <w:rPr>
          <w:lang w:val="sr-Cyrl-RS"/>
        </w:rPr>
        <w:t>45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podnošenje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nadležnih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postupanju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Posebnog</w:t>
      </w:r>
      <w:r w:rsidR="00CF2C5D"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tome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podnosi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D52D32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Pr="0084430E">
        <w:rPr>
          <w:lang w:val="sr-Cyrl-RS"/>
        </w:rPr>
        <w:t xml:space="preserve">. </w:t>
      </w:r>
    </w:p>
    <w:p w14:paraId="20EC6371" w14:textId="29A3986F" w:rsidR="00EE1D24" w:rsidRPr="0084430E" w:rsidRDefault="00AA05DF" w:rsidP="00FB02F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razmatra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postupanje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preporukama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dužan</w:t>
      </w:r>
      <w:r w:rsidR="00306292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306292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306292" w:rsidRPr="0084430E">
        <w:rPr>
          <w:lang w:val="sr-Cyrl-RS"/>
        </w:rPr>
        <w:t xml:space="preserve"> </w:t>
      </w:r>
      <w:r w:rsidR="00B86178">
        <w:rPr>
          <w:lang w:val="sr-Cyrl-RS"/>
        </w:rPr>
        <w:t>prisustvuje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predstavnik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organizacije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koju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preporuke</w:t>
      </w:r>
      <w:r w:rsidR="00DE0384" w:rsidRPr="0084430E">
        <w:rPr>
          <w:lang w:val="sr-Cyrl-RS"/>
        </w:rPr>
        <w:t xml:space="preserve"> </w:t>
      </w:r>
      <w:r w:rsidR="00B86178">
        <w:rPr>
          <w:lang w:val="sr-Cyrl-RS"/>
        </w:rPr>
        <w:t>odnose</w:t>
      </w:r>
      <w:r w:rsidR="00DE0384" w:rsidRPr="0084430E">
        <w:rPr>
          <w:lang w:val="sr-Cyrl-RS"/>
        </w:rPr>
        <w:t>.</w:t>
      </w:r>
    </w:p>
    <w:p w14:paraId="1AE0BE60" w14:textId="7F4729DC" w:rsidR="00CC5CE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Odlučivanje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3AF43B4C" w14:textId="79CE4BC8" w:rsidR="00767C38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lj</w:t>
      </w:r>
    </w:p>
    <w:p w14:paraId="4693A4F5" w14:textId="22B07EFE" w:rsidR="001758CF" w:rsidRPr="0084430E" w:rsidRDefault="007811D6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potrebno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nju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glasa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osam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1758CF" w:rsidRPr="0084430E">
        <w:rPr>
          <w:lang w:val="sr-Cyrl-RS"/>
        </w:rPr>
        <w:t xml:space="preserve">, </w:t>
      </w:r>
      <w:r w:rsidR="00B86178">
        <w:rPr>
          <w:lang w:val="sr-Cyrl-RS"/>
        </w:rPr>
        <w:t>pod</w:t>
      </w:r>
      <w:r w:rsidR="00BB57EE" w:rsidRPr="0084430E">
        <w:rPr>
          <w:lang w:val="sr-Cyrl-RS"/>
        </w:rPr>
        <w:t xml:space="preserve"> </w:t>
      </w:r>
      <w:r w:rsidR="00B86178">
        <w:rPr>
          <w:lang w:val="sr-Cyrl-RS"/>
        </w:rPr>
        <w:t>uslovom</w:t>
      </w:r>
      <w:r w:rsidR="00BB57EE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BB57EE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BB57EE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donošenje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odluke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glasali</w:t>
      </w:r>
      <w:r w:rsidR="00BB57EE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parlamentarne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većine</w:t>
      </w:r>
      <w:r w:rsidR="001758CF" w:rsidRPr="0084430E">
        <w:rPr>
          <w:lang w:val="sr-Cyrl-RS"/>
        </w:rPr>
        <w:t xml:space="preserve">, </w:t>
      </w:r>
      <w:r w:rsidR="00B86178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B86178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opozicionih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najmanje</w:t>
      </w:r>
      <w:r w:rsidR="005E4D43" w:rsidRPr="0084430E">
        <w:rPr>
          <w:lang w:val="sr-Cyrl-RS"/>
        </w:rPr>
        <w:t xml:space="preserve"> </w:t>
      </w:r>
      <w:r w:rsidR="00B86178">
        <w:rPr>
          <w:lang w:val="sr-Cyrl-RS"/>
        </w:rPr>
        <w:t>jedan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1758CF"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="00BB57EE" w:rsidRPr="0084430E">
        <w:rPr>
          <w:lang w:val="sr-Cyrl-RS"/>
        </w:rPr>
        <w:t>.</w:t>
      </w:r>
    </w:p>
    <w:p w14:paraId="292C1662" w14:textId="164FA0EF" w:rsidR="00EA169D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zamenjuje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njegovog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odsustva</w:t>
      </w:r>
      <w:r w:rsidR="00223863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prestanka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mandata</w:t>
      </w:r>
      <w:r w:rsidR="00223863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223863" w:rsidRPr="0084430E">
        <w:rPr>
          <w:lang w:val="sr-Cyrl-RS"/>
        </w:rPr>
        <w:t xml:space="preserve"> </w:t>
      </w:r>
      <w:r w:rsidR="00B86178">
        <w:rPr>
          <w:lang w:val="sr-Cyrl-RS"/>
        </w:rPr>
        <w:t>sili</w:t>
      </w:r>
      <w:r w:rsidR="00223863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223863"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="00223863" w:rsidRPr="0084430E">
        <w:rPr>
          <w:lang w:val="sr-Cyrl-RS"/>
        </w:rPr>
        <w:t xml:space="preserve"> </w:t>
      </w:r>
      <w:r w:rsidR="00B86178">
        <w:rPr>
          <w:lang w:val="sr-Cyrl-RS"/>
        </w:rPr>
        <w:t>razrešenja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1B637D1A" w14:textId="3F7A77D6" w:rsidR="00767C38" w:rsidRPr="0084430E" w:rsidRDefault="00EA169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odsustvu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zamenjuje</w:t>
      </w:r>
      <w:r w:rsidRPr="0084430E">
        <w:rPr>
          <w:lang w:val="sr-Cyrl-RS"/>
        </w:rPr>
        <w:t>.</w:t>
      </w:r>
    </w:p>
    <w:p w14:paraId="52C31D92" w14:textId="3E2DEE48" w:rsidR="00767C38" w:rsidRPr="0084430E" w:rsidRDefault="00EA169D" w:rsidP="00232931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Zamenik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ista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prava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kao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kojeg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zamenjuje</w:t>
      </w:r>
      <w:r w:rsidR="00767C38" w:rsidRPr="0084430E">
        <w:rPr>
          <w:lang w:val="sr-Cyrl-RS"/>
        </w:rPr>
        <w:t>.</w:t>
      </w:r>
    </w:p>
    <w:p w14:paraId="22523CB0" w14:textId="56D4F66E" w:rsidR="00CC5CE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Prva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sednica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47EEECD3" w14:textId="41DE791B" w:rsidR="00767C38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767C38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m</w:t>
      </w:r>
    </w:p>
    <w:p w14:paraId="34004008" w14:textId="6042099F" w:rsidR="00767C38" w:rsidRPr="0084430E" w:rsidRDefault="00767C38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saziva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="00656B01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656B01" w:rsidRPr="0084430E">
        <w:rPr>
          <w:lang w:val="sr-Cyrl-RS"/>
        </w:rPr>
        <w:t xml:space="preserve"> 30 </w:t>
      </w:r>
      <w:r w:rsidR="00B86178">
        <w:rPr>
          <w:lang w:val="sr-Cyrl-RS"/>
        </w:rPr>
        <w:t>dana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D2397B"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8A54388" w14:textId="304BBAD8" w:rsidR="00EA169D" w:rsidRPr="0084430E" w:rsidRDefault="00767C38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Komisija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prvoj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sednici</w:t>
      </w:r>
      <w:r w:rsidR="00EA169D" w:rsidRPr="0084430E">
        <w:rPr>
          <w:lang w:val="sr-Cyrl-RS"/>
        </w:rPr>
        <w:t>:</w:t>
      </w:r>
    </w:p>
    <w:p w14:paraId="2AF2F14A" w14:textId="2C5BB501" w:rsidR="00EA169D" w:rsidRPr="0084430E" w:rsidRDefault="00485289" w:rsidP="0084430E">
      <w:pPr>
        <w:tabs>
          <w:tab w:val="left" w:pos="1170"/>
        </w:tabs>
        <w:spacing w:after="60"/>
        <w:jc w:val="both"/>
        <w:rPr>
          <w:strike/>
          <w:lang w:val="sr-Cyrl-RS"/>
        </w:rPr>
      </w:pPr>
      <w:r w:rsidRPr="0084430E">
        <w:rPr>
          <w:lang w:val="sr-Cyrl-RS"/>
        </w:rPr>
        <w:tab/>
        <w:t>1</w:t>
      </w:r>
      <w:r w:rsidR="009E3A31" w:rsidRPr="0084430E">
        <w:rPr>
          <w:lang w:val="sr-Cyrl-RS"/>
        </w:rPr>
        <w:t xml:space="preserve">) </w:t>
      </w:r>
      <w:r w:rsidR="00B86178">
        <w:rPr>
          <w:lang w:val="sr-Cyrl-RS"/>
        </w:rPr>
        <w:t>bira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527FB" w:rsidRPr="0084430E">
        <w:rPr>
          <w:lang w:val="sr-Cyrl-RS"/>
        </w:rPr>
        <w:t xml:space="preserve">, </w:t>
      </w:r>
      <w:r w:rsidR="00B86178">
        <w:rPr>
          <w:lang w:val="sr-Cyrl-RS"/>
        </w:rPr>
        <w:t>od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kojih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deo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parlamentarne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većine</w:t>
      </w:r>
      <w:r w:rsidR="008527FB" w:rsidRPr="0084430E">
        <w:rPr>
          <w:lang w:val="sr-Cyrl-RS"/>
        </w:rPr>
        <w:t xml:space="preserve">, </w:t>
      </w:r>
      <w:r w:rsidR="00B86178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opozicionih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poslaničkih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grupa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jedan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="008527FB" w:rsidRPr="0084430E">
        <w:rPr>
          <w:lang w:val="sr-Cyrl-RS"/>
        </w:rPr>
        <w:t xml:space="preserve">, </w:t>
      </w:r>
      <w:r w:rsidR="00B86178">
        <w:rPr>
          <w:lang w:val="sr-Cyrl-RS"/>
        </w:rPr>
        <w:t>koji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godinu</w:t>
      </w:r>
      <w:r w:rsidR="00A21068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smenjivati</w:t>
      </w:r>
      <w:r w:rsidR="008527F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funkciji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4430E">
        <w:rPr>
          <w:lang w:val="sr-Cyrl-RS"/>
        </w:rPr>
        <w:t>;</w:t>
      </w:r>
    </w:p>
    <w:p w14:paraId="451F6A64" w14:textId="38923FA1" w:rsidR="00EA169D" w:rsidRPr="0084430E" w:rsidRDefault="00EA169D" w:rsidP="00445568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5957C5" w:rsidRPr="0084430E">
        <w:rPr>
          <w:lang w:val="sr-Cyrl-RS"/>
        </w:rPr>
        <w:t>2</w:t>
      </w:r>
      <w:r w:rsidR="00E141E1" w:rsidRPr="0084430E">
        <w:rPr>
          <w:lang w:val="sr-Cyrl-RS"/>
        </w:rPr>
        <w:t>)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donosi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6141553E" w14:textId="08AC00D3" w:rsidR="00CC5CE6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Predsednik</w:t>
      </w:r>
      <w:r w:rsidR="00CC5CE6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2702057" w14:textId="6CCFAC78" w:rsidR="00B85485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85485" w:rsidRPr="0084430E">
        <w:rPr>
          <w:lang w:val="sr-Cyrl-RS"/>
        </w:rPr>
        <w:t xml:space="preserve"> </w:t>
      </w:r>
      <w:r w:rsidR="00665655" w:rsidRPr="0084430E">
        <w:rPr>
          <w:lang w:val="sr-Cyrl-RS"/>
        </w:rPr>
        <w:t>22</w:t>
      </w:r>
      <w:r>
        <w:rPr>
          <w:lang w:val="sr-Cyrl-RS"/>
        </w:rPr>
        <w:t>n</w:t>
      </w:r>
    </w:p>
    <w:p w14:paraId="429563E6" w14:textId="160072CB" w:rsidR="00767C38" w:rsidRPr="0084430E" w:rsidRDefault="00FD3AF9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Predsednik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saziva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sednice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767C38" w:rsidRPr="0084430E">
        <w:rPr>
          <w:lang w:val="sr-Cyrl-RS"/>
        </w:rPr>
        <w:t xml:space="preserve">, </w:t>
      </w:r>
      <w:r w:rsidR="00B86178">
        <w:rPr>
          <w:lang w:val="sr-Cyrl-RS"/>
        </w:rPr>
        <w:t>predsedava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sednicama</w:t>
      </w:r>
      <w:r w:rsidR="00605DDD" w:rsidRPr="0084430E">
        <w:rPr>
          <w:lang w:val="sr-Cyrl-RS"/>
        </w:rPr>
        <w:t xml:space="preserve">, </w:t>
      </w:r>
      <w:r w:rsidR="00B86178">
        <w:rPr>
          <w:lang w:val="sr-Cyrl-RS"/>
        </w:rPr>
        <w:t>stara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redu</w:t>
      </w:r>
      <w:r w:rsidR="00767C38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sednicama</w:t>
      </w:r>
      <w:r w:rsidR="00EA169D" w:rsidRPr="0084430E">
        <w:rPr>
          <w:lang w:val="sr-Cyrl-RS"/>
        </w:rPr>
        <w:t xml:space="preserve">, </w:t>
      </w:r>
      <w:r w:rsidR="00B86178">
        <w:rPr>
          <w:lang w:val="sr-Cyrl-RS"/>
        </w:rPr>
        <w:t>kao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sprovođenju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Plana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EA169D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6C4967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6C4967" w:rsidRPr="0084430E">
        <w:rPr>
          <w:lang w:val="sr-Cyrl-RS"/>
        </w:rPr>
        <w:t xml:space="preserve"> </w:t>
      </w:r>
      <w:r w:rsidR="00B86178">
        <w:rPr>
          <w:lang w:val="sr-Cyrl-RS"/>
        </w:rPr>
        <w:t>potpisuje</w:t>
      </w:r>
      <w:r w:rsidR="006C4967" w:rsidRPr="0084430E">
        <w:rPr>
          <w:lang w:val="sr-Cyrl-RS"/>
        </w:rPr>
        <w:t xml:space="preserve"> </w:t>
      </w:r>
      <w:r w:rsidR="00B86178">
        <w:rPr>
          <w:lang w:val="sr-Cyrl-RS"/>
        </w:rPr>
        <w:t>akte</w:t>
      </w:r>
      <w:r w:rsidR="006C4967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767C38" w:rsidRPr="0084430E">
        <w:rPr>
          <w:lang w:val="sr-Cyrl-RS"/>
        </w:rPr>
        <w:t>.</w:t>
      </w:r>
    </w:p>
    <w:p w14:paraId="78265487" w14:textId="76F8B4B7" w:rsidR="00B85485" w:rsidRPr="0084430E" w:rsidRDefault="00B85485" w:rsidP="002060CC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slučaju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odsutnosti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sprečenosti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ovlašćenog</w:t>
      </w:r>
      <w:r w:rsidR="00485289" w:rsidRPr="0084430E">
        <w:rPr>
          <w:lang w:val="sr-Cyrl-RS"/>
        </w:rPr>
        <w:t xml:space="preserve"> </w:t>
      </w:r>
      <w:r w:rsidR="00B86178">
        <w:rPr>
          <w:lang w:val="sr-Cyrl-RS"/>
        </w:rPr>
        <w:t>predlagača</w:t>
      </w:r>
      <w:r w:rsidR="00485289" w:rsidRPr="0084430E">
        <w:rPr>
          <w:lang w:val="sr-Cyrl-RS"/>
        </w:rPr>
        <w:t xml:space="preserve"> </w:t>
      </w:r>
      <w:r w:rsidR="00B86178">
        <w:rPr>
          <w:lang w:val="sr-Cyrl-RS"/>
        </w:rPr>
        <w:t>kao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7185C769" w14:textId="1E20D095" w:rsidR="002060CC" w:rsidRPr="0084430E" w:rsidRDefault="002060CC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Promena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izabranih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članom</w:t>
      </w:r>
      <w:r w:rsidRPr="0084430E">
        <w:rPr>
          <w:lang w:val="sr-Cyrl-RS"/>
        </w:rPr>
        <w:t xml:space="preserve"> 22</w:t>
      </w:r>
      <w:r w:rsidR="00B86178">
        <w:rPr>
          <w:lang w:val="sr-Cyrl-RS"/>
        </w:rPr>
        <w:t>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</w:t>
      </w:r>
      <w:r w:rsidRPr="0084430E">
        <w:rPr>
          <w:lang w:val="sr-Cyrl-RS"/>
        </w:rPr>
        <w:t xml:space="preserve"> 2. </w:t>
      </w:r>
      <w:r w:rsidR="00B86178">
        <w:rPr>
          <w:lang w:val="sr-Cyrl-RS"/>
        </w:rPr>
        <w:t>tačka</w:t>
      </w:r>
      <w:r w:rsidRPr="0084430E">
        <w:rPr>
          <w:lang w:val="sr-Cyrl-RS"/>
        </w:rPr>
        <w:t xml:space="preserve"> 1)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obavljanje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funkcije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nastavlja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prema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redosledu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prvi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sastav</w:t>
      </w:r>
      <w:r w:rsidR="00531312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531312" w:rsidRPr="0084430E">
        <w:rPr>
          <w:lang w:val="sr-Cyrl-RS"/>
        </w:rPr>
        <w:t xml:space="preserve">. </w:t>
      </w:r>
      <w:r w:rsidRPr="0084430E">
        <w:rPr>
          <w:lang w:val="sr-Cyrl-RS"/>
        </w:rPr>
        <w:t xml:space="preserve"> </w:t>
      </w:r>
    </w:p>
    <w:p w14:paraId="343FF777" w14:textId="3E5CE2E6" w:rsidR="00471E21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Učesnici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radu</w:t>
      </w:r>
      <w:r w:rsidR="00471E21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15054E80" w14:textId="28EE24FB" w:rsidR="00C40600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C166F" w:rsidRPr="0084430E">
        <w:rPr>
          <w:lang w:val="sr-Cyrl-RS"/>
        </w:rPr>
        <w:t xml:space="preserve"> </w:t>
      </w:r>
      <w:r w:rsidR="00B85485" w:rsidRPr="0084430E">
        <w:rPr>
          <w:lang w:val="sr-Cyrl-RS"/>
        </w:rPr>
        <w:t>2</w:t>
      </w:r>
      <w:r w:rsidR="00F264EB" w:rsidRPr="0084430E">
        <w:rPr>
          <w:lang w:val="sr-Cyrl-RS"/>
        </w:rPr>
        <w:t>2</w:t>
      </w:r>
      <w:r>
        <w:rPr>
          <w:lang w:val="sr-Cyrl-RS"/>
        </w:rPr>
        <w:t>nj</w:t>
      </w:r>
    </w:p>
    <w:p w14:paraId="07A135CE" w14:textId="51AD5E9A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učestvuju</w:t>
      </w:r>
      <w:r w:rsidRPr="0084430E">
        <w:rPr>
          <w:lang w:val="sr-Cyrl-RS"/>
        </w:rPr>
        <w:t>:</w:t>
      </w:r>
    </w:p>
    <w:p w14:paraId="4E99E73E" w14:textId="6BDAD811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predstavnika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>;</w:t>
      </w:r>
    </w:p>
    <w:p w14:paraId="01491356" w14:textId="48FC72DC" w:rsidR="002C166F" w:rsidRPr="0084430E" w:rsidRDefault="00341EDD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  <w:t xml:space="preserve">2) </w:t>
      </w:r>
      <w:r w:rsidR="00B86178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ministarstva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2C166F" w:rsidRPr="0084430E">
        <w:rPr>
          <w:lang w:val="sr-Cyrl-RS"/>
        </w:rPr>
        <w:t>;</w:t>
      </w:r>
    </w:p>
    <w:p w14:paraId="6B778D9A" w14:textId="02996C02" w:rsidR="002C166F" w:rsidRPr="0084430E" w:rsidRDefault="00341EDD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3) </w:t>
      </w:r>
      <w:r w:rsidR="00B86178">
        <w:rPr>
          <w:lang w:val="sr-Cyrl-RS"/>
        </w:rPr>
        <w:t>jedan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predstavnik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Poverenika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informacije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javnog</w:t>
      </w:r>
      <w:r w:rsidR="002C166F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zaštitu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Pr="0084430E">
        <w:rPr>
          <w:lang w:val="sr-Cyrl-RS"/>
        </w:rPr>
        <w:t>.</w:t>
      </w:r>
    </w:p>
    <w:p w14:paraId="64803219" w14:textId="1A8144EE" w:rsidR="002C166F" w:rsidRPr="0084430E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Organi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1.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odrede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predstavnike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15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pismenog</w:t>
      </w:r>
      <w:r w:rsidR="00B85485" w:rsidRPr="0084430E">
        <w:rPr>
          <w:lang w:val="sr-Cyrl-RS"/>
        </w:rPr>
        <w:t xml:space="preserve"> </w:t>
      </w:r>
      <w:r w:rsidR="00B86178">
        <w:rPr>
          <w:lang w:val="sr-Cyrl-RS"/>
        </w:rPr>
        <w:t>zahteva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250ED6B4" w14:textId="32200FF1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bez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odlučivanja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pozivu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učestvovati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>:</w:t>
      </w:r>
    </w:p>
    <w:p w14:paraId="454F8744" w14:textId="78B445A7" w:rsidR="002C166F" w:rsidRPr="0084430E" w:rsidRDefault="002C166F" w:rsidP="00C848D9">
      <w:pPr>
        <w:tabs>
          <w:tab w:val="left" w:pos="1170"/>
        </w:tabs>
        <w:spacing w:after="6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341EDD" w:rsidRPr="0084430E">
        <w:rPr>
          <w:lang w:val="sr-Cyrl-RS"/>
        </w:rPr>
        <w:t>1)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međunarodnih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organizacija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stručnjaci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;</w:t>
      </w:r>
    </w:p>
    <w:p w14:paraId="1705074F" w14:textId="71117E8E" w:rsidR="002C166F" w:rsidRPr="0084430E" w:rsidRDefault="002C166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341EDD" w:rsidRPr="0084430E">
        <w:rPr>
          <w:lang w:val="sr-Cyrl-RS"/>
        </w:rPr>
        <w:t>2)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državni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službenici</w:t>
      </w:r>
      <w:r w:rsidR="00210C5F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10C5F"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="00210C5F" w:rsidRPr="0084430E">
        <w:rPr>
          <w:lang w:val="sr-Cyrl-RS"/>
        </w:rPr>
        <w:t xml:space="preserve"> </w:t>
      </w:r>
      <w:r w:rsidR="00B86178">
        <w:rPr>
          <w:lang w:val="sr-Cyrl-RS"/>
        </w:rPr>
        <w:t>državne</w:t>
      </w:r>
      <w:r w:rsidR="00210C5F"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službenici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autonomnih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pokrajina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jedinica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znanjem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odredi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rukovodilac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zaposlena</w:t>
      </w:r>
      <w:r w:rsidRPr="0084430E">
        <w:rPr>
          <w:lang w:val="sr-Cyrl-RS"/>
        </w:rPr>
        <w:t>.</w:t>
      </w:r>
    </w:p>
    <w:p w14:paraId="36F61FBE" w14:textId="4BF69535" w:rsidR="002C166F" w:rsidRPr="0084430E" w:rsidRDefault="002C166F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  <w:t xml:space="preserve"> </w:t>
      </w:r>
      <w:r w:rsidR="00B86178">
        <w:rPr>
          <w:lang w:val="sr-Cyrl-RS"/>
        </w:rPr>
        <w:t>Pozvana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 w:rsidRPr="0084430E">
        <w:rPr>
          <w:lang w:val="sr-Cyrl-RS"/>
        </w:rPr>
        <w:t xml:space="preserve"> </w:t>
      </w:r>
      <w:r w:rsidR="00210C5F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učine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dostupnim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informacije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neophodne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vršenje</w:t>
      </w:r>
      <w:r w:rsidR="00505BCC"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="00210C5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propisanih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>.</w:t>
      </w:r>
    </w:p>
    <w:p w14:paraId="1B2C7ECA" w14:textId="46F7B2E0" w:rsidR="0044486D" w:rsidRPr="0084430E" w:rsidRDefault="0044486D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Članovi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dostavljaju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pogledu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tačnosti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ažurnosti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5A4F2B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svojim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pravom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uvid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birački</w:t>
      </w:r>
      <w:r w:rsidR="005A4F2B" w:rsidRPr="0084430E">
        <w:rPr>
          <w:lang w:val="sr-Cyrl-RS"/>
        </w:rPr>
        <w:t xml:space="preserve"> </w:t>
      </w:r>
      <w:r w:rsidR="00B86178">
        <w:rPr>
          <w:lang w:val="sr-Cyrl-RS"/>
        </w:rPr>
        <w:t>spisak</w:t>
      </w:r>
      <w:r w:rsidR="005A4F2B" w:rsidRPr="0084430E">
        <w:rPr>
          <w:lang w:val="sr-Cyrl-RS"/>
        </w:rPr>
        <w:t>.</w:t>
      </w:r>
    </w:p>
    <w:p w14:paraId="1508B8CB" w14:textId="64A3D7A5" w:rsidR="00656B01" w:rsidRPr="0084430E" w:rsidRDefault="00656B01" w:rsidP="00113646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</w:t>
      </w:r>
      <w:r w:rsidR="002238AA" w:rsidRPr="0084430E">
        <w:rPr>
          <w:lang w:val="sr-Cyrl-RS"/>
        </w:rPr>
        <w:t xml:space="preserve">e </w:t>
      </w:r>
      <w:r w:rsidR="00B86178">
        <w:rPr>
          <w:lang w:val="sr-Cyrl-RS"/>
        </w:rPr>
        <w:t>dostavi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izjašnjenje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Republičkoj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izbornoj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238AA" w:rsidRPr="0084430E">
        <w:rPr>
          <w:lang w:val="sr-Cyrl-RS"/>
        </w:rPr>
        <w:t xml:space="preserve"> 30 </w:t>
      </w:r>
      <w:r w:rsidR="00B86178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prijema</w:t>
      </w:r>
      <w:r w:rsidR="002238AA"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="002238AA" w:rsidRPr="0084430E">
        <w:rPr>
          <w:lang w:val="sr-Cyrl-RS"/>
        </w:rPr>
        <w:t>.</w:t>
      </w:r>
    </w:p>
    <w:p w14:paraId="0AA5FA13" w14:textId="40BD6ECC" w:rsidR="00113646" w:rsidRPr="0084430E" w:rsidRDefault="00113646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Kada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razmatraju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stavom</w:t>
      </w:r>
      <w:r w:rsidRPr="0084430E">
        <w:rPr>
          <w:lang w:val="sr-Cyrl-RS"/>
        </w:rPr>
        <w:t xml:space="preserve"> </w:t>
      </w:r>
      <w:r w:rsidR="005A4F2B" w:rsidRPr="0084430E">
        <w:rPr>
          <w:lang w:val="sr-Cyrl-RS"/>
        </w:rPr>
        <w:t>5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poziva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odnosno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zamenik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BE093A" w:rsidRPr="0084430E">
        <w:rPr>
          <w:lang w:val="sr-Cyrl-RS"/>
        </w:rPr>
        <w:t xml:space="preserve"> </w:t>
      </w:r>
      <w:r w:rsidR="00B86178">
        <w:rPr>
          <w:lang w:val="sr-Cyrl-RS"/>
        </w:rPr>
        <w:t>Republičke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Pr="0084430E">
        <w:rPr>
          <w:lang w:val="sr-Cyrl-RS"/>
        </w:rPr>
        <w:t>.</w:t>
      </w:r>
    </w:p>
    <w:p w14:paraId="1C775278" w14:textId="6A33B88E" w:rsidR="0085751D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Javnost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8A3757A" w14:textId="5E72B58C" w:rsidR="00C40600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F264F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o</w:t>
      </w:r>
    </w:p>
    <w:p w14:paraId="21DE7F6C" w14:textId="0640836B" w:rsidR="00BF264F" w:rsidRPr="0084430E" w:rsidRDefault="00BF264F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javan</w:t>
      </w:r>
      <w:r w:rsidRPr="0084430E">
        <w:rPr>
          <w:lang w:val="sr-Cyrl-RS"/>
        </w:rPr>
        <w:t>.</w:t>
      </w:r>
    </w:p>
    <w:p w14:paraId="6FCB0B41" w14:textId="661097F9" w:rsidR="00BF264F" w:rsidRPr="0084430E" w:rsidRDefault="00AE00C2" w:rsidP="00AB014E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Javnost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obezbeđuje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objavljivanjem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="00091FAE"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F264F" w:rsidRPr="0084430E">
        <w:rPr>
          <w:lang w:val="sr-Cyrl-RS"/>
        </w:rPr>
        <w:t xml:space="preserve">: </w:t>
      </w:r>
      <w:r w:rsidR="00B86178">
        <w:rPr>
          <w:lang w:val="sr-Cyrl-RS"/>
        </w:rPr>
        <w:t>saziva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F264F" w:rsidRPr="0084430E">
        <w:rPr>
          <w:lang w:val="sr-Cyrl-RS"/>
        </w:rPr>
        <w:t xml:space="preserve">, </w:t>
      </w:r>
      <w:r w:rsidR="00B86178">
        <w:rPr>
          <w:lang w:val="sr-Cyrl-RS"/>
        </w:rPr>
        <w:t>opštih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akata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izveštaja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Komisija</w:t>
      </w:r>
      <w:r w:rsidR="003F0FF0" w:rsidRPr="0084430E">
        <w:rPr>
          <w:lang w:val="sr-Cyrl-RS"/>
        </w:rPr>
        <w:t xml:space="preserve"> </w:t>
      </w:r>
      <w:r w:rsidR="00B86178">
        <w:rPr>
          <w:lang w:val="sr-Cyrl-RS"/>
        </w:rPr>
        <w:t>podnosi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BF264F" w:rsidRPr="0084430E">
        <w:rPr>
          <w:lang w:val="sr-Cyrl-RS"/>
        </w:rPr>
        <w:t xml:space="preserve">, </w:t>
      </w:r>
      <w:r w:rsidR="00B86178">
        <w:rPr>
          <w:lang w:val="sr-Cyrl-RS"/>
        </w:rPr>
        <w:t>posebnih</w:t>
      </w:r>
      <w:r w:rsidR="00E3249B" w:rsidRPr="0084430E">
        <w:rPr>
          <w:lang w:val="sr-Cyrl-RS"/>
        </w:rPr>
        <w:t xml:space="preserve"> </w:t>
      </w:r>
      <w:r w:rsidR="00B86178">
        <w:rPr>
          <w:lang w:val="sr-Cyrl-RS"/>
        </w:rPr>
        <w:t>izveštaja</w:t>
      </w:r>
      <w:r w:rsidR="00E3249B" w:rsidRPr="0084430E">
        <w:rPr>
          <w:lang w:val="sr-Cyrl-RS"/>
        </w:rPr>
        <w:t xml:space="preserve">, </w:t>
      </w:r>
      <w:r w:rsidR="00B86178">
        <w:rPr>
          <w:lang w:val="sr-Cyrl-RS"/>
        </w:rPr>
        <w:t>Plana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BF264F" w:rsidRPr="0084430E">
        <w:rPr>
          <w:lang w:val="sr-Cyrl-RS"/>
        </w:rPr>
        <w:t xml:space="preserve">, </w:t>
      </w:r>
      <w:r w:rsidR="00B86178">
        <w:rPr>
          <w:lang w:val="sr-Cyrl-RS"/>
        </w:rPr>
        <w:t>zapisnika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sednica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informacija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delokruga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značaja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BF264F" w:rsidRPr="0084430E">
        <w:rPr>
          <w:lang w:val="sr-Cyrl-RS"/>
        </w:rPr>
        <w:t xml:space="preserve"> </w:t>
      </w:r>
      <w:r w:rsidR="00B86178">
        <w:rPr>
          <w:lang w:val="sr-Cyrl-RS"/>
        </w:rPr>
        <w:t>javnost</w:t>
      </w:r>
      <w:r w:rsidR="00BF264F" w:rsidRPr="0084430E">
        <w:rPr>
          <w:lang w:val="sr-Cyrl-RS"/>
        </w:rPr>
        <w:t>.</w:t>
      </w:r>
    </w:p>
    <w:p w14:paraId="5B7B9F38" w14:textId="1F06464A" w:rsidR="00A267F2" w:rsidRPr="0084430E" w:rsidRDefault="00A267F2" w:rsidP="00F04867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prisustvuju</w:t>
      </w:r>
      <w:r w:rsidR="00F04867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svojstvu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posmatrača</w:t>
      </w:r>
      <w:r w:rsidR="00F04867" w:rsidRPr="0084430E">
        <w:rPr>
          <w:lang w:val="sr-Cyrl-RS"/>
        </w:rPr>
        <w:t xml:space="preserve">, </w:t>
      </w:r>
      <w:r w:rsidR="00B86178">
        <w:rPr>
          <w:lang w:val="sr-Cyrl-RS"/>
        </w:rPr>
        <w:t>do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dva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predstavnika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registrovanog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Republici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Srbiji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čiji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ciljevi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ostvaruju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0E4FBF" w:rsidRPr="0084430E">
        <w:rPr>
          <w:lang w:val="sr-Cyrl-RS"/>
        </w:rPr>
        <w:t xml:space="preserve"> </w:t>
      </w:r>
      <w:r w:rsidR="00B86178">
        <w:rPr>
          <w:lang w:val="sr-Cyrl-RS"/>
        </w:rPr>
        <w:t>podnelo</w:t>
      </w:r>
      <w:r w:rsidR="00F04867" w:rsidRPr="0084430E">
        <w:rPr>
          <w:lang w:val="sr-Cyrl-RS"/>
        </w:rPr>
        <w:t xml:space="preserve"> </w:t>
      </w:r>
      <w:r w:rsidR="00B86178">
        <w:rPr>
          <w:lang w:val="sr-Cyrl-RS"/>
        </w:rPr>
        <w:t>prijavu</w:t>
      </w:r>
      <w:r w:rsidR="000E4FBF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0E4FBF" w:rsidRPr="0084430E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="000E4FBF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0E4FBF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uz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obavezu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potpisivanja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poverljivosti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5957C5" w:rsidRPr="0084430E">
        <w:rPr>
          <w:lang w:val="sr-Cyrl-RS"/>
        </w:rPr>
        <w:t xml:space="preserve"> 22</w:t>
      </w:r>
      <w:r w:rsidR="00B86178">
        <w:rPr>
          <w:lang w:val="sr-Cyrl-RS"/>
        </w:rPr>
        <w:t>ž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5957C5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5957C5" w:rsidRPr="0084430E">
        <w:rPr>
          <w:lang w:val="sr-Cyrl-RS"/>
        </w:rPr>
        <w:t>.</w:t>
      </w:r>
      <w:r w:rsidR="001021DA">
        <w:rPr>
          <w:lang w:val="sr-Cyrl-RS"/>
        </w:rPr>
        <w:t xml:space="preserve"> </w:t>
      </w:r>
      <w:r w:rsidR="00B86178">
        <w:rPr>
          <w:lang w:val="sr-Cyrl-RS"/>
        </w:rPr>
        <w:t>Postupak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prijavljivanja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rada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Poslovnikom</w:t>
      </w:r>
      <w:r w:rsidR="00D45FCC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5957C5" w:rsidRPr="0084430E">
        <w:rPr>
          <w:lang w:val="sr-Cyrl-RS"/>
        </w:rPr>
        <w:t>.</w:t>
      </w:r>
    </w:p>
    <w:p w14:paraId="75253B46" w14:textId="7EF44DE4" w:rsidR="00B5373B" w:rsidRDefault="00AB014E" w:rsidP="00B5373B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prisustvuju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predstavnici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poslanika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dobila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posmatranje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izbora</w:t>
      </w:r>
      <w:r w:rsidRPr="0084430E">
        <w:rPr>
          <w:lang w:val="sr-Cyrl-RS"/>
        </w:rPr>
        <w:t>.</w:t>
      </w:r>
    </w:p>
    <w:p w14:paraId="52F4774F" w14:textId="40C8737F" w:rsidR="00B5373B" w:rsidRDefault="00B5373B" w:rsidP="00B5373B">
      <w:pPr>
        <w:tabs>
          <w:tab w:val="left" w:pos="1170"/>
        </w:tabs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B86178"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veb</w:t>
      </w:r>
      <w:r w:rsidR="00404556" w:rsidRPr="0084430E">
        <w:rPr>
          <w:lang w:val="sr-Cyrl-RS"/>
        </w:rPr>
        <w:t>-</w:t>
      </w:r>
      <w:r w:rsidR="00B86178">
        <w:rPr>
          <w:lang w:val="sr-Cyrl-RS"/>
        </w:rPr>
        <w:t>prezentaciji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omogućiti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posebnu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formu</w:t>
      </w:r>
      <w:r w:rsidR="00F40F20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F40F20" w:rsidRPr="0084430E">
        <w:rPr>
          <w:lang w:val="sr-Cyrl-RS"/>
        </w:rPr>
        <w:t xml:space="preserve"> </w:t>
      </w:r>
      <w:r w:rsidR="00B86178">
        <w:rPr>
          <w:lang w:val="sr-Cyrl-RS"/>
        </w:rPr>
        <w:t>kojoj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građani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mogu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podnositi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primedbe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vezi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7C7984" w:rsidRPr="0084430E">
        <w:rPr>
          <w:lang w:val="sr-Cyrl-RS"/>
        </w:rPr>
        <w:t xml:space="preserve"> </w:t>
      </w:r>
      <w:r w:rsidR="00B86178">
        <w:rPr>
          <w:lang w:val="sr-Cyrl-RS"/>
        </w:rPr>
        <w:t>pitanjima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nadležnosti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404556" w:rsidRPr="0084430E">
        <w:rPr>
          <w:lang w:val="sr-Cyrl-RS"/>
        </w:rPr>
        <w:t>.</w:t>
      </w:r>
    </w:p>
    <w:p w14:paraId="5C1E4148" w14:textId="7A1C4E90" w:rsidR="00404556" w:rsidRPr="0084430E" w:rsidRDefault="00B5373B" w:rsidP="00B5373B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</w:r>
      <w:r w:rsidR="00B86178">
        <w:rPr>
          <w:lang w:val="sr-Cyrl-RS"/>
        </w:rPr>
        <w:t>Komisija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dužna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Izveštaju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posebno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navede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ukupan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broj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primedbi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strane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građana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kao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način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njima</w:t>
      </w:r>
      <w:r w:rsidR="00404556" w:rsidRPr="0084430E">
        <w:rPr>
          <w:lang w:val="sr-Cyrl-RS"/>
        </w:rPr>
        <w:t xml:space="preserve"> </w:t>
      </w:r>
      <w:r w:rsidR="00B86178">
        <w:rPr>
          <w:lang w:val="sr-Cyrl-RS"/>
        </w:rPr>
        <w:t>postupljeno</w:t>
      </w:r>
      <w:r w:rsidR="00404556" w:rsidRPr="0084430E">
        <w:rPr>
          <w:lang w:val="sr-Cyrl-RS"/>
        </w:rPr>
        <w:t>.</w:t>
      </w:r>
    </w:p>
    <w:p w14:paraId="52ABB729" w14:textId="7087715D" w:rsidR="0085751D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Uslovi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za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rad</w:t>
      </w:r>
      <w:r w:rsidR="0085751D" w:rsidRPr="0084430E">
        <w:rPr>
          <w:lang w:val="sr-Cyrl-RS"/>
        </w:rPr>
        <w:t xml:space="preserve"> </w:t>
      </w:r>
      <w:r>
        <w:rPr>
          <w:lang w:val="sr-Cyrl-RS"/>
        </w:rPr>
        <w:t>Komisije</w:t>
      </w:r>
    </w:p>
    <w:p w14:paraId="209E7397" w14:textId="58CBE498" w:rsidR="00E9788B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9788B" w:rsidRPr="0084430E">
        <w:rPr>
          <w:lang w:val="sr-Cyrl-RS"/>
        </w:rPr>
        <w:t xml:space="preserve"> </w:t>
      </w:r>
      <w:r w:rsidR="00F264EB" w:rsidRPr="0084430E">
        <w:rPr>
          <w:lang w:val="sr-Cyrl-RS"/>
        </w:rPr>
        <w:t>22</w:t>
      </w:r>
      <w:r>
        <w:rPr>
          <w:lang w:val="sr-Cyrl-RS"/>
        </w:rPr>
        <w:t>p</w:t>
      </w:r>
    </w:p>
    <w:p w14:paraId="79C53D92" w14:textId="0F46E969" w:rsidR="00370D4B" w:rsidRPr="0084430E" w:rsidRDefault="00370D4B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Uslove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F727C1">
        <w:rPr>
          <w:lang w:val="sr-Cyrl-RS"/>
        </w:rPr>
        <w:t>(</w:t>
      </w:r>
      <w:r w:rsidR="00B86178">
        <w:rPr>
          <w:lang w:val="sr-Cyrl-RS"/>
        </w:rPr>
        <w:t>kadrovske</w:t>
      </w:r>
      <w:r w:rsidR="00F727C1">
        <w:rPr>
          <w:lang w:val="sr-Cyrl-RS"/>
        </w:rPr>
        <w:t xml:space="preserve">, </w:t>
      </w:r>
      <w:r w:rsidR="00B86178">
        <w:rPr>
          <w:lang w:val="sr-Cyrl-RS"/>
        </w:rPr>
        <w:t>prostorne</w:t>
      </w:r>
      <w:r w:rsidR="00F727C1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F727C1">
        <w:rPr>
          <w:lang w:val="sr-Cyrl-RS"/>
        </w:rPr>
        <w:t xml:space="preserve"> </w:t>
      </w:r>
      <w:r w:rsidR="00B86178">
        <w:rPr>
          <w:lang w:val="sr-Cyrl-RS"/>
        </w:rPr>
        <w:t>tehničke</w:t>
      </w:r>
      <w:r w:rsidR="00F727C1">
        <w:rPr>
          <w:lang w:val="sr-Cyrl-RS"/>
        </w:rPr>
        <w:t>)</w:t>
      </w:r>
      <w:r w:rsidR="00F727C1" w:rsidRPr="0084430E">
        <w:rPr>
          <w:lang w:val="sr-Cyrl-RS"/>
        </w:rPr>
        <w:t xml:space="preserve"> </w:t>
      </w:r>
      <w:r w:rsidR="00B86178">
        <w:rPr>
          <w:lang w:val="sr-Cyrl-RS"/>
        </w:rPr>
        <w:t>obezbeđuje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</w:t>
      </w:r>
      <w:r w:rsidR="008E1EF7" w:rsidRPr="0084430E">
        <w:rPr>
          <w:lang w:val="sr-Cyrl-RS"/>
        </w:rPr>
        <w:t xml:space="preserve">a </w:t>
      </w:r>
      <w:r w:rsidR="00B86178">
        <w:rPr>
          <w:lang w:val="sr-Cyrl-RS"/>
        </w:rPr>
        <w:t>skupštin</w:t>
      </w:r>
      <w:r w:rsidR="008E1EF7" w:rsidRPr="0084430E">
        <w:rPr>
          <w:lang w:val="sr-Cyrl-RS"/>
        </w:rPr>
        <w:t>a</w:t>
      </w:r>
      <w:r w:rsidRPr="0084430E">
        <w:rPr>
          <w:lang w:val="sr-Cyrl-RS"/>
        </w:rPr>
        <w:t>.</w:t>
      </w:r>
    </w:p>
    <w:p w14:paraId="1ED80274" w14:textId="5595247E" w:rsidR="00190A72" w:rsidRPr="0084430E" w:rsidRDefault="00190A72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Komisija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odredi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generalni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sekretar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reda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zaposlenih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Službi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656B01"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="00656B01" w:rsidRPr="0084430E">
        <w:rPr>
          <w:lang w:val="sr-Cyrl-RS"/>
        </w:rPr>
        <w:t>.</w:t>
      </w:r>
    </w:p>
    <w:p w14:paraId="5FE2CBB8" w14:textId="59B56223" w:rsidR="00656B01" w:rsidRPr="0084430E" w:rsidRDefault="00656B01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određeno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samo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visoko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pravnih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nauka</w:t>
      </w:r>
      <w:r w:rsidRPr="0084430E">
        <w:rPr>
          <w:lang w:val="sr-Cyrl-RS"/>
        </w:rPr>
        <w:t>.</w:t>
      </w:r>
    </w:p>
    <w:p w14:paraId="1AAE38CC" w14:textId="57CF638B" w:rsidR="00190A72" w:rsidRPr="0084430E" w:rsidRDefault="00190A72" w:rsidP="00190A72">
      <w:pPr>
        <w:tabs>
          <w:tab w:val="left" w:pos="1170"/>
        </w:tabs>
        <w:spacing w:after="120"/>
        <w:jc w:val="both"/>
        <w:rPr>
          <w:rFonts w:ascii="Times New Roman" w:eastAsia="Times New Roman" w:hAnsi="Times New Roman"/>
          <w:b/>
          <w:szCs w:val="24"/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obavljanja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revizije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Komisija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može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angažuje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stručna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visokim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obrazovanjem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matematičkih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demografskih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informacionih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ekonomskih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nauka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ili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društveno</w:t>
      </w:r>
      <w:r w:rsidRPr="0084430E">
        <w:rPr>
          <w:lang w:val="sr-Cyrl-RS"/>
        </w:rPr>
        <w:t>-</w:t>
      </w:r>
      <w:r w:rsidR="00B86178">
        <w:rPr>
          <w:lang w:val="sr-Cyrl-RS"/>
        </w:rPr>
        <w:t>statističkih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srodnih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naučnih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oblasti</w:t>
      </w:r>
      <w:r w:rsidRPr="0084430E">
        <w:rPr>
          <w:lang w:val="sr-Cyrl-RS"/>
        </w:rPr>
        <w:t>.</w:t>
      </w:r>
    </w:p>
    <w:p w14:paraId="28C5B39E" w14:textId="604C6EF7" w:rsidR="008E1EF7" w:rsidRPr="0084430E" w:rsidRDefault="008E1EF7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Sredstva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obezbeđuju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budžetu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Republike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Srbije</w:t>
      </w:r>
      <w:r w:rsidR="00466E53">
        <w:rPr>
          <w:lang w:val="sr-Cyrl-RS"/>
        </w:rPr>
        <w:t xml:space="preserve">, </w:t>
      </w:r>
      <w:r w:rsidR="00B86178">
        <w:rPr>
          <w:lang w:val="sr-Cyrl-RS"/>
        </w:rPr>
        <w:t>o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čemu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stara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Generalni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sekretar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="00466E53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>.</w:t>
      </w:r>
    </w:p>
    <w:p w14:paraId="43886F24" w14:textId="56BB1ACB" w:rsidR="00803BF1" w:rsidRPr="0084430E" w:rsidRDefault="008E1EF7" w:rsidP="00803BF1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Članovi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mesečnu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naknadu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rad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iznosu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jedne</w:t>
      </w:r>
      <w:r w:rsidR="00B82FB4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B82FB4"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="00B82FB4" w:rsidRPr="0084430E">
        <w:rPr>
          <w:lang w:val="sr-Cyrl-RS"/>
        </w:rPr>
        <w:t xml:space="preserve"> </w:t>
      </w:r>
      <w:r w:rsidR="00B86178">
        <w:rPr>
          <w:lang w:val="sr-Cyrl-RS"/>
        </w:rPr>
        <w:t>prosečne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zarade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bez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poreza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doprinosa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isplaćene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Republici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Srbiji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prema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poslednjem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objavljenom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podatku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republičkog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organa</w:t>
      </w:r>
      <w:r w:rsidR="0054103B" w:rsidRPr="0084430E">
        <w:rPr>
          <w:lang w:val="sr-Cyrl-RS"/>
        </w:rPr>
        <w:t xml:space="preserve"> </w:t>
      </w:r>
      <w:r w:rsidR="00B86178">
        <w:rPr>
          <w:lang w:val="sr-Cyrl-RS"/>
        </w:rPr>
        <w:t>nadležnog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="00803BF1" w:rsidRPr="0084430E">
        <w:rPr>
          <w:lang w:val="sr-Cyrl-RS"/>
        </w:rPr>
        <w:t xml:space="preserve"> </w:t>
      </w:r>
      <w:r w:rsidR="00B86178">
        <w:rPr>
          <w:lang w:val="sr-Cyrl-RS"/>
        </w:rPr>
        <w:t>statistike</w:t>
      </w:r>
      <w:r w:rsidR="00803BF1" w:rsidRPr="0084430E">
        <w:rPr>
          <w:lang w:val="sr-Cyrl-RS"/>
        </w:rPr>
        <w:t>.</w:t>
      </w:r>
    </w:p>
    <w:p w14:paraId="641CA180" w14:textId="0131B817" w:rsidR="008E1EF7" w:rsidRPr="0084430E" w:rsidRDefault="00B92F8C" w:rsidP="00C848D9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Članovi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zamenici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C16160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ostvaruju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naknadu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troškova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nastaju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vezi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s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njihovim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radom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Komisiji</w:t>
      </w:r>
      <w:r w:rsidR="008E1EF7" w:rsidRPr="0084430E">
        <w:rPr>
          <w:lang w:val="sr-Cyrl-RS"/>
        </w:rPr>
        <w:t xml:space="preserve"> </w:t>
      </w:r>
      <w:r w:rsidR="00B86178">
        <w:rPr>
          <w:lang w:val="sr-Cyrl-RS"/>
        </w:rPr>
        <w:t>shodno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propisima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kojima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uređuju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naknade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druga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primanja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izabranih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postavljenih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="00C01E82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A84C5A" w:rsidRPr="0084430E">
        <w:rPr>
          <w:lang w:val="sr-Cyrl-RS"/>
        </w:rPr>
        <w:t xml:space="preserve"> </w:t>
      </w:r>
      <w:r w:rsidR="00B86178">
        <w:rPr>
          <w:lang w:val="sr-Cyrl-RS"/>
        </w:rPr>
        <w:t>državnim</w:t>
      </w:r>
      <w:r w:rsidR="00A84C5A" w:rsidRPr="0084430E">
        <w:rPr>
          <w:lang w:val="sr-Cyrl-RS"/>
        </w:rPr>
        <w:t xml:space="preserve"> </w:t>
      </w:r>
      <w:r w:rsidR="00B86178">
        <w:rPr>
          <w:lang w:val="sr-Cyrl-RS"/>
        </w:rPr>
        <w:t>organima</w:t>
      </w:r>
      <w:r w:rsidR="00354500" w:rsidRPr="0084430E">
        <w:rPr>
          <w:lang w:val="sr-Cyrl-RS"/>
        </w:rPr>
        <w:t>.</w:t>
      </w:r>
    </w:p>
    <w:p w14:paraId="396C9B25" w14:textId="42C5A1EA" w:rsidR="00E9788B" w:rsidRPr="0084430E" w:rsidRDefault="005D0997" w:rsidP="00354500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b/>
          <w:lang w:val="sr-Cyrl-RS"/>
        </w:rPr>
        <w:tab/>
      </w:r>
      <w:r w:rsidR="00B86178">
        <w:rPr>
          <w:lang w:val="sr-Cyrl-RS"/>
        </w:rPr>
        <w:t>Stručna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angažuje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Komisija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stavom</w:t>
      </w:r>
      <w:r w:rsidR="00354500" w:rsidRPr="0084430E">
        <w:rPr>
          <w:lang w:val="sr-Cyrl-RS"/>
        </w:rPr>
        <w:t xml:space="preserve"> 4. </w:t>
      </w:r>
      <w:r w:rsidR="00B86178">
        <w:rPr>
          <w:lang w:val="sr-Cyrl-RS"/>
        </w:rPr>
        <w:t>ovoga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pravo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novčanu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naknadu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čiji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iznos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utvrđuje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administrativno</w:t>
      </w:r>
      <w:r w:rsidR="00354500" w:rsidRPr="0084430E">
        <w:rPr>
          <w:lang w:val="sr-Cyrl-RS"/>
        </w:rPr>
        <w:t>-</w:t>
      </w:r>
      <w:r w:rsidR="00B86178">
        <w:rPr>
          <w:lang w:val="sr-Cyrl-RS"/>
        </w:rPr>
        <w:t>budžetska</w:t>
      </w:r>
      <w:r w:rsidR="00354500" w:rsidRPr="0084430E">
        <w:rPr>
          <w:lang w:val="sr-Cyrl-RS"/>
        </w:rPr>
        <w:t xml:space="preserve"> </w:t>
      </w:r>
      <w:r w:rsidR="00B86178">
        <w:rPr>
          <w:lang w:val="sr-Cyrl-RS"/>
        </w:rPr>
        <w:t>pitanja</w:t>
      </w:r>
      <w:r w:rsidRPr="0084430E">
        <w:rPr>
          <w:lang w:val="sr-Cyrl-RS"/>
        </w:rPr>
        <w:t>.</w:t>
      </w:r>
    </w:p>
    <w:p w14:paraId="1688A6A5" w14:textId="779F71F3" w:rsidR="00174692" w:rsidRPr="0084430E" w:rsidRDefault="00B86178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</w:t>
      </w:r>
      <w:r w:rsidR="002A1282" w:rsidRPr="0084430E">
        <w:rPr>
          <w:lang w:val="sr-Cyrl-RS"/>
        </w:rPr>
        <w:t>5</w:t>
      </w:r>
      <w:r w:rsidR="00174692" w:rsidRPr="0084430E">
        <w:rPr>
          <w:lang w:val="sr-Cyrl-RS"/>
        </w:rPr>
        <w:t>.</w:t>
      </w:r>
    </w:p>
    <w:p w14:paraId="136DD75E" w14:textId="3745D0BF" w:rsidR="00174692" w:rsidRPr="0084430E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Posle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Glave</w:t>
      </w:r>
      <w:r w:rsidRPr="0084430E">
        <w:rPr>
          <w:lang w:val="sr-Cyrl-RS"/>
        </w:rPr>
        <w:t xml:space="preserve"> VI. </w:t>
      </w:r>
      <w:r w:rsidR="00B86178">
        <w:rPr>
          <w:lang w:val="sr-Cyrl-RS"/>
        </w:rPr>
        <w:t>dodaju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Glava</w:t>
      </w:r>
      <w:r w:rsidRPr="0084430E">
        <w:rPr>
          <w:lang w:val="sr-Cyrl-RS"/>
        </w:rPr>
        <w:t xml:space="preserve"> VI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24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glase</w:t>
      </w:r>
      <w:r w:rsidRPr="0084430E">
        <w:rPr>
          <w:lang w:val="sr-Cyrl-RS"/>
        </w:rPr>
        <w:t>:</w:t>
      </w:r>
    </w:p>
    <w:p w14:paraId="77EBF94D" w14:textId="670C37DE" w:rsidR="00174692" w:rsidRPr="0084430E" w:rsidRDefault="00174692" w:rsidP="00174692">
      <w:pPr>
        <w:tabs>
          <w:tab w:val="left" w:pos="1170"/>
        </w:tabs>
        <w:spacing w:after="240"/>
        <w:jc w:val="center"/>
        <w:rPr>
          <w:lang w:val="sr-Cyrl-RS"/>
        </w:rPr>
      </w:pPr>
      <w:r w:rsidRPr="0084430E">
        <w:rPr>
          <w:lang w:val="sr-Cyrl-RS"/>
        </w:rPr>
        <w:t>„VI</w:t>
      </w:r>
      <w:r w:rsidR="00B86178">
        <w:rPr>
          <w:lang w:val="sr-Cyrl-RS"/>
        </w:rPr>
        <w:t>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</w:p>
    <w:p w14:paraId="32C7FC1B" w14:textId="0B7F4B56" w:rsidR="00F66262" w:rsidRPr="0084430E" w:rsidRDefault="00B86178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Obaveze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u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vezi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sa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zaštitom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podataka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o</w:t>
      </w:r>
      <w:r w:rsidR="00F66262" w:rsidRPr="0084430E">
        <w:rPr>
          <w:lang w:val="sr-Cyrl-RS"/>
        </w:rPr>
        <w:t xml:space="preserve"> </w:t>
      </w:r>
      <w:r>
        <w:rPr>
          <w:lang w:val="sr-Cyrl-RS"/>
        </w:rPr>
        <w:t>ličnosti</w:t>
      </w:r>
    </w:p>
    <w:p w14:paraId="3D1F5879" w14:textId="0E8EFA5C" w:rsidR="00174692" w:rsidRPr="0084430E" w:rsidRDefault="00B86178" w:rsidP="00174692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174692" w:rsidRPr="0084430E">
        <w:rPr>
          <w:lang w:val="sr-Cyrl-RS"/>
        </w:rPr>
        <w:t xml:space="preserve"> 24</w:t>
      </w:r>
      <w:r>
        <w:rPr>
          <w:lang w:val="sr-Cyrl-RS"/>
        </w:rPr>
        <w:t>a</w:t>
      </w:r>
    </w:p>
    <w:p w14:paraId="7691EA6D" w14:textId="7A52530C" w:rsidR="00174692" w:rsidRPr="0084430E" w:rsidRDefault="00174692" w:rsidP="0017469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Sva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bilo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osnovu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predviđenim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podacima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uređena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zaštita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podataka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isključivo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svrhu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vršenja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ovlašćenja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ovim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poverena</w:t>
      </w:r>
      <w:r w:rsidRPr="0084430E">
        <w:rPr>
          <w:lang w:val="sr-Cyrl-RS"/>
        </w:rPr>
        <w:t>.</w:t>
      </w:r>
    </w:p>
    <w:p w14:paraId="56DB5AF2" w14:textId="0AEF2D02" w:rsidR="00174692" w:rsidRDefault="00174692" w:rsidP="00174692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Podaci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C1094D" w:rsidRPr="0084430E">
        <w:rPr>
          <w:lang w:val="sr-Cyrl-RS"/>
        </w:rPr>
        <w:t xml:space="preserve"> </w:t>
      </w:r>
      <w:r w:rsidR="00B86178">
        <w:rPr>
          <w:lang w:val="sr-Cyrl-RS"/>
        </w:rPr>
        <w:t>ličnosti</w:t>
      </w:r>
      <w:r w:rsidR="00C1094D" w:rsidRPr="0084430E">
        <w:rPr>
          <w:lang w:val="sr-Cyrl-RS"/>
        </w:rPr>
        <w:t xml:space="preserve"> </w:t>
      </w:r>
      <w:r w:rsidR="00B86178">
        <w:rPr>
          <w:lang w:val="sr-Cyrl-RS"/>
        </w:rPr>
        <w:t>birača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smeju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koristiti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političke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svrhe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potrebe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vođenja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izborne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kampanje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drugi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način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zloupotrebljavati</w:t>
      </w:r>
      <w:r w:rsidRPr="0084430E">
        <w:rPr>
          <w:lang w:val="sr-Cyrl-RS"/>
        </w:rPr>
        <w:t>.“.</w:t>
      </w:r>
    </w:p>
    <w:p w14:paraId="5A71E7A1" w14:textId="525F1577" w:rsidR="00D21388" w:rsidRDefault="00B86178" w:rsidP="00D21388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D21388">
        <w:rPr>
          <w:lang w:val="sr-Cyrl-RS"/>
        </w:rPr>
        <w:t xml:space="preserve"> 6.</w:t>
      </w:r>
    </w:p>
    <w:p w14:paraId="5ECFE015" w14:textId="1918F9D8" w:rsidR="00D21388" w:rsidRDefault="00D21388" w:rsidP="00D21388">
      <w:pPr>
        <w:tabs>
          <w:tab w:val="left" w:pos="1170"/>
        </w:tabs>
        <w:spacing w:after="120"/>
        <w:rPr>
          <w:lang w:val="sr-Cyrl-RS"/>
        </w:rPr>
      </w:pPr>
      <w:r>
        <w:rPr>
          <w:lang w:val="sr-Cyrl-RS"/>
        </w:rPr>
        <w:tab/>
      </w:r>
      <w:r w:rsidR="00B86178">
        <w:rPr>
          <w:lang w:val="sr-Cyrl-RS"/>
        </w:rPr>
        <w:t>U</w:t>
      </w:r>
      <w:r>
        <w:rPr>
          <w:lang w:val="sr-Cyrl-RS"/>
        </w:rPr>
        <w:t xml:space="preserve"> </w:t>
      </w:r>
      <w:r w:rsidR="00B86178">
        <w:rPr>
          <w:lang w:val="sr-Cyrl-RS"/>
        </w:rPr>
        <w:t>članu</w:t>
      </w:r>
      <w:r>
        <w:rPr>
          <w:lang w:val="sr-Cyrl-RS"/>
        </w:rPr>
        <w:t xml:space="preserve"> 25. </w:t>
      </w:r>
      <w:r w:rsidR="00B86178">
        <w:rPr>
          <w:lang w:val="sr-Cyrl-RS"/>
        </w:rPr>
        <w:t>posle</w:t>
      </w:r>
      <w:r>
        <w:rPr>
          <w:lang w:val="sr-Cyrl-RS"/>
        </w:rPr>
        <w:t xml:space="preserve"> </w:t>
      </w:r>
      <w:r w:rsidR="00B86178">
        <w:rPr>
          <w:lang w:val="sr-Cyrl-RS"/>
        </w:rPr>
        <w:t>stava</w:t>
      </w:r>
      <w:r>
        <w:rPr>
          <w:lang w:val="sr-Cyrl-RS"/>
        </w:rPr>
        <w:t xml:space="preserve"> 1. </w:t>
      </w:r>
      <w:r w:rsidR="00B86178">
        <w:rPr>
          <w:lang w:val="sr-Cyrl-RS"/>
        </w:rPr>
        <w:t>dodaje</w:t>
      </w:r>
      <w:r>
        <w:rPr>
          <w:lang w:val="sr-Cyrl-RS"/>
        </w:rPr>
        <w:t xml:space="preserve"> </w:t>
      </w:r>
      <w:r w:rsidR="00B86178">
        <w:rPr>
          <w:lang w:val="sr-Cyrl-RS"/>
        </w:rPr>
        <w:t>se</w:t>
      </w:r>
      <w:r>
        <w:rPr>
          <w:lang w:val="sr-Cyrl-RS"/>
        </w:rPr>
        <w:t xml:space="preserve"> </w:t>
      </w:r>
      <w:r w:rsidR="00B86178">
        <w:rPr>
          <w:lang w:val="sr-Cyrl-RS"/>
        </w:rPr>
        <w:t>stav</w:t>
      </w:r>
      <w:r>
        <w:rPr>
          <w:lang w:val="sr-Cyrl-RS"/>
        </w:rPr>
        <w:t xml:space="preserve"> 2, </w:t>
      </w:r>
      <w:r w:rsidR="00B86178">
        <w:rPr>
          <w:lang w:val="sr-Cyrl-RS"/>
        </w:rPr>
        <w:t>koji</w:t>
      </w:r>
      <w:r>
        <w:rPr>
          <w:lang w:val="sr-Cyrl-RS"/>
        </w:rPr>
        <w:t xml:space="preserve"> </w:t>
      </w:r>
      <w:r w:rsidR="00B86178">
        <w:rPr>
          <w:lang w:val="sr-Cyrl-RS"/>
        </w:rPr>
        <w:t>glasi</w:t>
      </w:r>
      <w:r>
        <w:rPr>
          <w:lang w:val="sr-Cyrl-RS"/>
        </w:rPr>
        <w:t>:</w:t>
      </w:r>
    </w:p>
    <w:p w14:paraId="7577BA81" w14:textId="60A92D93" w:rsidR="00D21388" w:rsidRPr="0084430E" w:rsidRDefault="00D21388" w:rsidP="00D21388">
      <w:pPr>
        <w:tabs>
          <w:tab w:val="left" w:pos="1170"/>
        </w:tabs>
        <w:spacing w:after="240"/>
        <w:jc w:val="both"/>
        <w:rPr>
          <w:lang w:val="sr-Cyrl-RS"/>
        </w:rPr>
      </w:pPr>
      <w:r>
        <w:rPr>
          <w:lang w:val="sr-Cyrl-RS"/>
        </w:rPr>
        <w:tab/>
        <w:t>„</w:t>
      </w:r>
      <w:r w:rsidR="00B86178">
        <w:rPr>
          <w:lang w:val="sr-Cyrl-RS"/>
        </w:rPr>
        <w:t>Novčanom</w:t>
      </w:r>
      <w:r>
        <w:rPr>
          <w:lang w:val="sr-Cyrl-RS"/>
        </w:rPr>
        <w:t xml:space="preserve"> </w:t>
      </w:r>
      <w:r w:rsidR="00B86178">
        <w:rPr>
          <w:lang w:val="sr-Cyrl-RS"/>
        </w:rPr>
        <w:t>kaznom</w:t>
      </w:r>
      <w:r>
        <w:rPr>
          <w:lang w:val="sr-Cyrl-RS"/>
        </w:rPr>
        <w:t xml:space="preserve"> </w:t>
      </w:r>
      <w:r w:rsidR="00B86178">
        <w:rPr>
          <w:lang w:val="sr-Cyrl-RS"/>
        </w:rPr>
        <w:t>od</w:t>
      </w:r>
      <w:r>
        <w:rPr>
          <w:lang w:val="sr-Cyrl-RS"/>
        </w:rPr>
        <w:t xml:space="preserve"> 25.000 </w:t>
      </w:r>
      <w:r w:rsidR="00B86178">
        <w:rPr>
          <w:lang w:val="sr-Cyrl-RS"/>
        </w:rPr>
        <w:t>do</w:t>
      </w:r>
      <w:r>
        <w:rPr>
          <w:lang w:val="sr-Cyrl-RS"/>
        </w:rPr>
        <w:t xml:space="preserve"> 250.000 </w:t>
      </w:r>
      <w:r w:rsidR="00B86178">
        <w:rPr>
          <w:lang w:val="sr-Cyrl-RS"/>
        </w:rPr>
        <w:t>dinara</w:t>
      </w:r>
      <w:r>
        <w:rPr>
          <w:lang w:val="sr-Cyrl-RS"/>
        </w:rPr>
        <w:t xml:space="preserve"> </w:t>
      </w:r>
      <w:r w:rsidR="00B86178">
        <w:rPr>
          <w:lang w:val="sr-Cyrl-RS"/>
        </w:rPr>
        <w:t>kazniće</w:t>
      </w:r>
      <w:r>
        <w:rPr>
          <w:lang w:val="sr-Cyrl-RS"/>
        </w:rPr>
        <w:t xml:space="preserve"> </w:t>
      </w:r>
      <w:r w:rsidR="00B86178">
        <w:rPr>
          <w:lang w:val="sr-Cyrl-RS"/>
        </w:rPr>
        <w:t>se</w:t>
      </w:r>
      <w:r>
        <w:rPr>
          <w:lang w:val="sr-Cyrl-RS"/>
        </w:rPr>
        <w:t xml:space="preserve"> </w:t>
      </w:r>
      <w:r w:rsidR="00B86178">
        <w:rPr>
          <w:lang w:val="sr-Cyrl-RS"/>
        </w:rPr>
        <w:t>za</w:t>
      </w:r>
      <w:r>
        <w:rPr>
          <w:lang w:val="sr-Cyrl-RS"/>
        </w:rPr>
        <w:t xml:space="preserve"> </w:t>
      </w:r>
      <w:r w:rsidR="00B86178">
        <w:rPr>
          <w:lang w:val="sr-Cyrl-RS"/>
        </w:rPr>
        <w:t>prekršaj</w:t>
      </w:r>
      <w:r>
        <w:rPr>
          <w:lang w:val="sr-Cyrl-RS"/>
        </w:rPr>
        <w:t xml:space="preserve"> </w:t>
      </w:r>
      <w:r w:rsidR="00B86178">
        <w:rPr>
          <w:lang w:val="sr-Cyrl-RS"/>
        </w:rPr>
        <w:t>odgovorno</w:t>
      </w:r>
      <w:r>
        <w:rPr>
          <w:lang w:val="sr-Cyrl-RS"/>
        </w:rPr>
        <w:t xml:space="preserve"> </w:t>
      </w:r>
      <w:r w:rsidR="00B86178">
        <w:rPr>
          <w:lang w:val="sr-Cyrl-RS"/>
        </w:rPr>
        <w:t>lice</w:t>
      </w:r>
      <w:r>
        <w:rPr>
          <w:lang w:val="sr-Cyrl-RS"/>
        </w:rPr>
        <w:t xml:space="preserve"> </w:t>
      </w:r>
      <w:r w:rsidR="00B86178">
        <w:rPr>
          <w:lang w:val="sr-Cyrl-RS"/>
        </w:rPr>
        <w:t>u</w:t>
      </w:r>
      <w:r>
        <w:rPr>
          <w:lang w:val="sr-Cyrl-RS"/>
        </w:rPr>
        <w:t xml:space="preserve"> </w:t>
      </w:r>
      <w:r w:rsidR="00B86178">
        <w:rPr>
          <w:lang w:val="sr-Cyrl-RS"/>
        </w:rPr>
        <w:t>organ</w:t>
      </w:r>
      <w:r>
        <w:rPr>
          <w:lang w:val="sr-Cyrl-RS"/>
        </w:rPr>
        <w:t xml:space="preserve"> </w:t>
      </w:r>
      <w:r w:rsidR="00B86178">
        <w:rPr>
          <w:lang w:val="sr-Cyrl-RS"/>
        </w:rPr>
        <w:t>državne</w:t>
      </w:r>
      <w:r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>
        <w:rPr>
          <w:lang w:val="sr-Cyrl-RS"/>
        </w:rPr>
        <w:t xml:space="preserve">, </w:t>
      </w:r>
      <w:r w:rsidR="00B86178">
        <w:rPr>
          <w:lang w:val="sr-Cyrl-RS"/>
        </w:rPr>
        <w:t>teritorijalne</w:t>
      </w:r>
      <w:r>
        <w:rPr>
          <w:lang w:val="sr-Cyrl-RS"/>
        </w:rPr>
        <w:t xml:space="preserve"> </w:t>
      </w:r>
      <w:r w:rsidR="00B86178">
        <w:rPr>
          <w:lang w:val="sr-Cyrl-RS"/>
        </w:rPr>
        <w:t>autonomnije</w:t>
      </w:r>
      <w:r>
        <w:rPr>
          <w:lang w:val="sr-Cyrl-RS"/>
        </w:rPr>
        <w:t xml:space="preserve"> </w:t>
      </w:r>
      <w:r w:rsidR="00B86178">
        <w:rPr>
          <w:lang w:val="sr-Cyrl-RS"/>
        </w:rPr>
        <w:t>i</w:t>
      </w:r>
      <w:r>
        <w:rPr>
          <w:lang w:val="sr-Cyrl-RS"/>
        </w:rPr>
        <w:t xml:space="preserve"> </w:t>
      </w:r>
      <w:r w:rsidR="00B86178">
        <w:rPr>
          <w:lang w:val="sr-Cyrl-RS"/>
        </w:rPr>
        <w:t>jedinici</w:t>
      </w:r>
      <w:r>
        <w:rPr>
          <w:lang w:val="sr-Cyrl-RS"/>
        </w:rPr>
        <w:t xml:space="preserve"> </w:t>
      </w:r>
      <w:r w:rsidR="00B86178">
        <w:rPr>
          <w:lang w:val="sr-Cyrl-RS"/>
        </w:rPr>
        <w:t>lokalne</w:t>
      </w:r>
      <w:r>
        <w:rPr>
          <w:lang w:val="sr-Cyrl-RS"/>
        </w:rPr>
        <w:t xml:space="preserve"> </w:t>
      </w:r>
      <w:r w:rsidR="00B86178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B86178">
        <w:rPr>
          <w:lang w:val="sr-Cyrl-RS"/>
        </w:rPr>
        <w:t>ako</w:t>
      </w:r>
      <w:r>
        <w:rPr>
          <w:lang w:val="sr-Cyrl-RS"/>
        </w:rPr>
        <w:t xml:space="preserve"> </w:t>
      </w:r>
      <w:r w:rsidR="00B86178">
        <w:rPr>
          <w:lang w:val="sr-Cyrl-RS"/>
        </w:rPr>
        <w:t>postupi</w:t>
      </w:r>
      <w:r>
        <w:rPr>
          <w:lang w:val="sr-Cyrl-RS"/>
        </w:rPr>
        <w:t xml:space="preserve"> </w:t>
      </w:r>
      <w:r w:rsidR="00B86178">
        <w:rPr>
          <w:lang w:val="sr-Cyrl-RS"/>
        </w:rPr>
        <w:t>suprotno</w:t>
      </w:r>
      <w:r>
        <w:rPr>
          <w:lang w:val="sr-Cyrl-RS"/>
        </w:rPr>
        <w:t xml:space="preserve"> </w:t>
      </w:r>
      <w:r w:rsidR="00B86178">
        <w:rPr>
          <w:lang w:val="sr-Cyrl-RS"/>
        </w:rPr>
        <w:t>članu</w:t>
      </w:r>
      <w:r>
        <w:rPr>
          <w:lang w:val="sr-Cyrl-RS"/>
        </w:rPr>
        <w:t xml:space="preserve"> 22</w:t>
      </w:r>
      <w:r w:rsidR="00B86178">
        <w:rPr>
          <w:lang w:val="sr-Cyrl-RS"/>
        </w:rPr>
        <w:t>j</w:t>
      </w:r>
      <w:r>
        <w:rPr>
          <w:lang w:val="sr-Cyrl-RS"/>
        </w:rPr>
        <w:t xml:space="preserve"> </w:t>
      </w:r>
      <w:r w:rsidR="00B86178">
        <w:rPr>
          <w:lang w:val="sr-Cyrl-RS"/>
        </w:rPr>
        <w:t>stav</w:t>
      </w:r>
      <w:r>
        <w:rPr>
          <w:lang w:val="sr-Cyrl-RS"/>
        </w:rPr>
        <w:t xml:space="preserve"> 3. </w:t>
      </w:r>
      <w:r w:rsidR="00B86178">
        <w:rPr>
          <w:lang w:val="sr-Cyrl-RS"/>
        </w:rPr>
        <w:t>ovog</w:t>
      </w:r>
      <w:r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>
        <w:rPr>
          <w:lang w:val="sr-Cyrl-RS"/>
        </w:rPr>
        <w:t>.“.</w:t>
      </w:r>
    </w:p>
    <w:p w14:paraId="383CDFCA" w14:textId="77052408" w:rsidR="00174692" w:rsidRPr="0084430E" w:rsidRDefault="00B86178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lastRenderedPageBreak/>
        <w:t>Član</w:t>
      </w:r>
      <w:r w:rsidR="0052633C" w:rsidRPr="0084430E">
        <w:rPr>
          <w:lang w:val="sr-Cyrl-RS"/>
        </w:rPr>
        <w:t xml:space="preserve"> </w:t>
      </w:r>
      <w:r w:rsidR="00187C88">
        <w:rPr>
          <w:lang w:val="sr-Cyrl-RS"/>
        </w:rPr>
        <w:t>7</w:t>
      </w:r>
      <w:r w:rsidR="0052633C" w:rsidRPr="0084430E">
        <w:rPr>
          <w:lang w:val="sr-Cyrl-RS"/>
        </w:rPr>
        <w:t>.</w:t>
      </w:r>
    </w:p>
    <w:p w14:paraId="1262151D" w14:textId="7549127B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Nadležni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odbor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postupak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predlaganja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prvog</w:t>
      </w:r>
      <w:r w:rsidR="00B91837"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odredbama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257DDD" w:rsidRPr="0084430E">
        <w:rPr>
          <w:lang w:val="sr-Cyrl-RS"/>
        </w:rPr>
        <w:t xml:space="preserve"> </w:t>
      </w:r>
      <w:r w:rsidR="00B86178">
        <w:rPr>
          <w:lang w:val="sr-Cyrl-RS"/>
        </w:rPr>
        <w:t>pokrenuti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D75846" w:rsidRPr="0084430E">
        <w:rPr>
          <w:lang w:val="sr-Cyrl-RS"/>
        </w:rPr>
        <w:t xml:space="preserve">15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7B8A1DC2" w14:textId="22918838" w:rsidR="0052633C" w:rsidRPr="0084430E" w:rsidRDefault="00B86178" w:rsidP="0052633C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52633C" w:rsidRPr="0084430E">
        <w:rPr>
          <w:lang w:val="sr-Cyrl-RS"/>
        </w:rPr>
        <w:t xml:space="preserve"> </w:t>
      </w:r>
      <w:r w:rsidR="00187C88">
        <w:rPr>
          <w:lang w:val="sr-Cyrl-RS"/>
        </w:rPr>
        <w:t>8</w:t>
      </w:r>
      <w:r w:rsidR="0052633C" w:rsidRPr="0084430E">
        <w:rPr>
          <w:lang w:val="sr-Cyrl-RS"/>
        </w:rPr>
        <w:t>.</w:t>
      </w:r>
    </w:p>
    <w:p w14:paraId="7CA49B3A" w14:textId="3BAAFD10" w:rsidR="0052633C" w:rsidRPr="0084430E" w:rsidRDefault="0052633C" w:rsidP="0052633C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Prvi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sastav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odredbama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2E0581" w:rsidRPr="0084430E">
        <w:rPr>
          <w:lang w:val="sr-Cyrl-RS"/>
        </w:rPr>
        <w:t xml:space="preserve">, </w:t>
      </w:r>
      <w:r w:rsidR="00B86178">
        <w:rPr>
          <w:lang w:val="sr-Cyrl-RS"/>
        </w:rPr>
        <w:t>dužan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devet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2E058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obavi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prvu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reviziju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biračkog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spiska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Narodnoj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skupštini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podnese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Izveštaj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D75846" w:rsidRPr="0084430E">
        <w:rPr>
          <w:lang w:val="sr-Cyrl-RS"/>
        </w:rPr>
        <w:t xml:space="preserve"> </w:t>
      </w:r>
      <w:r w:rsidR="00B86178">
        <w:rPr>
          <w:lang w:val="sr-Cyrl-RS"/>
        </w:rPr>
        <w:t>reviziji</w:t>
      </w:r>
      <w:r w:rsidRPr="0084430E">
        <w:rPr>
          <w:lang w:val="sr-Cyrl-RS"/>
        </w:rPr>
        <w:t>.</w:t>
      </w:r>
    </w:p>
    <w:p w14:paraId="51E3F4BC" w14:textId="412A3D9F" w:rsidR="00B91837" w:rsidRPr="0084430E" w:rsidRDefault="00B86178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187C88">
        <w:rPr>
          <w:lang w:val="sr-Cyrl-RS"/>
        </w:rPr>
        <w:t>9</w:t>
      </w:r>
      <w:r w:rsidR="00B91837" w:rsidRPr="0084430E">
        <w:rPr>
          <w:lang w:val="sr-Cyrl-RS"/>
        </w:rPr>
        <w:t>.</w:t>
      </w:r>
    </w:p>
    <w:p w14:paraId="3130A318" w14:textId="6762DADD" w:rsidR="00B91837" w:rsidRPr="0084430E" w:rsidRDefault="00B91837" w:rsidP="001D6A3F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CA1403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prvoj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E1069B" w:rsidRPr="0084430E">
        <w:rPr>
          <w:lang w:val="sr-Cyrl-RS"/>
        </w:rPr>
        <w:t xml:space="preserve">, </w:t>
      </w:r>
      <w:r w:rsidR="00B86178">
        <w:rPr>
          <w:lang w:val="sr-Cyrl-RS"/>
        </w:rPr>
        <w:t>u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skladu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odredbama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E1069B" w:rsidRPr="0084430E">
        <w:rPr>
          <w:lang w:val="sr-Cyrl-RS"/>
        </w:rPr>
        <w:t>,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budu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izabrani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budu</w:t>
      </w:r>
      <w:r w:rsidR="00E1069B" w:rsidRPr="0084430E">
        <w:rPr>
          <w:lang w:val="sr-Cyrl-RS"/>
        </w:rPr>
        <w:t xml:space="preserve"> </w:t>
      </w:r>
      <w:r w:rsidR="00B86178">
        <w:rPr>
          <w:lang w:val="sr-Cyrl-RS"/>
        </w:rPr>
        <w:t>predsednici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do</w:t>
      </w:r>
      <w:r w:rsidR="00FF643F" w:rsidRPr="0084430E">
        <w:rPr>
          <w:lang w:val="sr-Cyrl-RS"/>
        </w:rPr>
        <w:t xml:space="preserve"> </w:t>
      </w:r>
      <w:r w:rsidR="00B86178">
        <w:rPr>
          <w:lang w:val="sr-Cyrl-RS"/>
        </w:rPr>
        <w:t>isteka</w:t>
      </w:r>
      <w:r w:rsidR="005F221A" w:rsidRPr="0084430E">
        <w:rPr>
          <w:lang w:val="sr-Cyrl-RS"/>
        </w:rPr>
        <w:t xml:space="preserve"> </w:t>
      </w:r>
      <w:r w:rsidR="00B86178">
        <w:rPr>
          <w:lang w:val="sr-Cyrl-RS"/>
        </w:rPr>
        <w:t>roka</w:t>
      </w:r>
      <w:r w:rsidR="00FF643F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FF643F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FF643F" w:rsidRPr="0084430E">
        <w:rPr>
          <w:lang w:val="sr-Cyrl-RS"/>
        </w:rPr>
        <w:t xml:space="preserve"> </w:t>
      </w:r>
      <w:r w:rsidR="005F221A" w:rsidRPr="0084430E">
        <w:rPr>
          <w:lang w:val="sr-Cyrl-RS"/>
        </w:rPr>
        <w:t>7</w:t>
      </w:r>
      <w:r w:rsidR="00FF643F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="00FF643F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FF643F" w:rsidRPr="0084430E">
        <w:rPr>
          <w:lang w:val="sr-Cyrl-RS"/>
        </w:rPr>
        <w:t xml:space="preserve"> </w:t>
      </w:r>
      <w:r w:rsidR="00B86178">
        <w:rPr>
          <w:lang w:val="sr-Cyrl-RS"/>
        </w:rPr>
        <w:t>smenjivaće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funkciji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CA1403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meseca</w:t>
      </w:r>
      <w:r w:rsidRPr="0084430E">
        <w:rPr>
          <w:lang w:val="sr-Cyrl-RS"/>
        </w:rPr>
        <w:t>.</w:t>
      </w:r>
    </w:p>
    <w:p w14:paraId="31ED9E8B" w14:textId="1CEA0ADE" w:rsidR="001D6A3F" w:rsidRPr="0084430E" w:rsidRDefault="001D6A3F" w:rsidP="00CA1403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Prvi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predsednik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biće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imenovan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predlog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udruženja</w:t>
      </w:r>
      <w:r w:rsidRPr="0084430E">
        <w:rPr>
          <w:lang w:val="sr-Cyrl-RS"/>
        </w:rPr>
        <w:t>.</w:t>
      </w:r>
    </w:p>
    <w:p w14:paraId="03E817A3" w14:textId="7566F3E5" w:rsidR="00B91837" w:rsidRPr="0084430E" w:rsidRDefault="00B86178" w:rsidP="00B91837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B91837" w:rsidRPr="0084430E">
        <w:rPr>
          <w:lang w:val="sr-Cyrl-RS"/>
        </w:rPr>
        <w:t xml:space="preserve"> </w:t>
      </w:r>
      <w:r w:rsidR="00187C88">
        <w:rPr>
          <w:lang w:val="sr-Cyrl-RS"/>
        </w:rPr>
        <w:t>10</w:t>
      </w:r>
      <w:r w:rsidR="00B91837" w:rsidRPr="0084430E">
        <w:rPr>
          <w:lang w:val="sr-Cyrl-RS"/>
        </w:rPr>
        <w:t>.</w:t>
      </w:r>
    </w:p>
    <w:p w14:paraId="79DF7338" w14:textId="157875E3" w:rsidR="00B91837" w:rsidRPr="0084430E" w:rsidRDefault="00B91837" w:rsidP="00B91837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Narodna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će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razrešiti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dužnosti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odnosno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prvog</w:t>
      </w:r>
      <w:r w:rsidR="00CA1841" w:rsidRPr="0084430E">
        <w:rPr>
          <w:lang w:val="sr-Cyrl-RS"/>
        </w:rPr>
        <w:t xml:space="preserve"> </w:t>
      </w:r>
      <w:r w:rsidR="00B86178">
        <w:rPr>
          <w:lang w:val="sr-Cyrl-RS"/>
        </w:rPr>
        <w:t>sastava</w:t>
      </w:r>
      <w:r w:rsidR="00CA1841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tri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meseca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prisustvuje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sednicama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>.</w:t>
      </w:r>
    </w:p>
    <w:p w14:paraId="0C543597" w14:textId="7C030059" w:rsidR="00E6471E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E6471E" w:rsidRPr="0084430E">
        <w:rPr>
          <w:lang w:val="sr-Cyrl-RS"/>
        </w:rPr>
        <w:t xml:space="preserve"> </w:t>
      </w:r>
      <w:r w:rsidR="00187C88">
        <w:rPr>
          <w:lang w:val="sr-Cyrl-RS"/>
        </w:rPr>
        <w:t>11</w:t>
      </w:r>
      <w:r w:rsidR="00E6471E" w:rsidRPr="0084430E">
        <w:rPr>
          <w:lang w:val="sr-Cyrl-RS"/>
        </w:rPr>
        <w:t>.</w:t>
      </w:r>
    </w:p>
    <w:p w14:paraId="15989A48" w14:textId="36213CB7" w:rsidR="00E6471E" w:rsidRPr="0084430E" w:rsidRDefault="00E6471E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Ministarstvo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unutrašnje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dužno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ministarstvu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dostavi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podatke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potrebne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izvršenje</w:t>
      </w:r>
      <w:r w:rsidR="00DD4EA2" w:rsidRPr="0084430E">
        <w:rPr>
          <w:lang w:val="sr-Cyrl-RS"/>
        </w:rPr>
        <w:t xml:space="preserve"> </w:t>
      </w:r>
      <w:r w:rsidR="00B86178">
        <w:rPr>
          <w:lang w:val="sr-Cyrl-RS"/>
        </w:rPr>
        <w:t>zadataka</w:t>
      </w:r>
      <w:r w:rsidR="001F4239"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="001F4239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2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BD5C3D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1A636705" w14:textId="548CBEC2" w:rsidR="00B131EC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187C88">
        <w:rPr>
          <w:lang w:val="sr-Cyrl-RS"/>
        </w:rPr>
        <w:t>2</w:t>
      </w:r>
      <w:r w:rsidR="00091FAE" w:rsidRPr="0084430E">
        <w:rPr>
          <w:lang w:val="sr-Cyrl-RS"/>
        </w:rPr>
        <w:t>.</w:t>
      </w:r>
    </w:p>
    <w:p w14:paraId="7273DA65" w14:textId="41405CED" w:rsidR="00D3618C" w:rsidRPr="0084430E" w:rsidRDefault="00D3618C" w:rsidP="002061B2">
      <w:pPr>
        <w:tabs>
          <w:tab w:val="left" w:pos="1170"/>
        </w:tabs>
        <w:spacing w:after="12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dužan</w:t>
      </w:r>
      <w:r w:rsidR="00486B9C" w:rsidRPr="0084430E">
        <w:rPr>
          <w:lang w:val="sr-Cyrl-RS"/>
        </w:rPr>
        <w:t xml:space="preserve"> </w:t>
      </w:r>
      <w:r w:rsidR="00B86178">
        <w:rPr>
          <w:lang w:val="sr-Cyrl-RS"/>
        </w:rPr>
        <w:t>je</w:t>
      </w:r>
      <w:r w:rsidR="00486B9C" w:rsidRPr="0084430E">
        <w:rPr>
          <w:lang w:val="sr-Cyrl-RS"/>
        </w:rPr>
        <w:t xml:space="preserve"> </w:t>
      </w:r>
      <w:r w:rsidR="00B86178">
        <w:rPr>
          <w:lang w:val="sr-Cyrl-RS"/>
        </w:rPr>
        <w:t>da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predviđene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izvršavanje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jedinstvenom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biračkom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spisku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uskladi</w:t>
      </w:r>
      <w:r w:rsidR="00486B9C" w:rsidRPr="0084430E">
        <w:rPr>
          <w:lang w:val="sr-Cyrl-RS"/>
        </w:rPr>
        <w:t xml:space="preserve"> </w:t>
      </w:r>
      <w:r w:rsidR="00B86178">
        <w:rPr>
          <w:lang w:val="sr-Cyrl-RS"/>
        </w:rPr>
        <w:t>sa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odredbama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3954A7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pet</w:t>
      </w:r>
      <w:r w:rsidR="00D14CB7" w:rsidRPr="0084430E">
        <w:rPr>
          <w:lang w:val="sr-Cyrl-RS"/>
        </w:rPr>
        <w:t xml:space="preserve"> </w:t>
      </w:r>
      <w:r w:rsidR="00B86178">
        <w:rPr>
          <w:lang w:val="sr-Cyrl-RS"/>
        </w:rPr>
        <w:t>meseci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618E3BA4" w14:textId="20E463FF" w:rsidR="002061B2" w:rsidRPr="0084430E" w:rsidRDefault="002061B2" w:rsidP="00C848D9">
      <w:pPr>
        <w:tabs>
          <w:tab w:val="left" w:pos="117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3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ministar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nadležan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poslove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uprave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892F299" w14:textId="1D7D0D8E" w:rsidR="00210A1D" w:rsidRPr="0084430E" w:rsidRDefault="00B86178" w:rsidP="00210A1D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210A1D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187C88">
        <w:rPr>
          <w:lang w:val="sr-Cyrl-RS"/>
        </w:rPr>
        <w:t>3</w:t>
      </w:r>
      <w:r w:rsidR="00210A1D" w:rsidRPr="0084430E">
        <w:rPr>
          <w:lang w:val="sr-Cyrl-RS"/>
        </w:rPr>
        <w:t>.</w:t>
      </w:r>
    </w:p>
    <w:p w14:paraId="2871A044" w14:textId="0C6F5496" w:rsidR="00210A1D" w:rsidRPr="0084430E" w:rsidRDefault="00210A1D" w:rsidP="00210A1D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Obrazac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izjave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E30F91" w:rsidRPr="0084430E">
        <w:rPr>
          <w:lang w:val="sr-Cyrl-RS"/>
        </w:rPr>
        <w:t xml:space="preserve"> (</w:t>
      </w:r>
      <w:r w:rsidR="00B86178">
        <w:rPr>
          <w:lang w:val="sr-Cyrl-RS"/>
        </w:rPr>
        <w:t>član</w:t>
      </w:r>
      <w:r w:rsidRPr="0084430E">
        <w:rPr>
          <w:lang w:val="sr-Cyrl-RS"/>
        </w:rPr>
        <w:t xml:space="preserve"> 2</w:t>
      </w:r>
      <w:r w:rsidR="00BF6A30" w:rsidRPr="0084430E">
        <w:rPr>
          <w:lang w:val="sr-Cyrl-RS"/>
        </w:rPr>
        <w:t>2</w:t>
      </w:r>
      <w:r w:rsidR="00B86178">
        <w:rPr>
          <w:lang w:val="sr-Cyrl-RS"/>
        </w:rPr>
        <w:t>ž</w:t>
      </w:r>
      <w:r w:rsidR="00E30F91" w:rsidRPr="0084430E">
        <w:rPr>
          <w:lang w:val="sr-Cyrl-RS"/>
        </w:rPr>
        <w:t>)</w:t>
      </w:r>
      <w:r w:rsidRPr="0084430E">
        <w:rPr>
          <w:lang w:val="sr-Cyrl-RS"/>
        </w:rPr>
        <w:t xml:space="preserve">, </w:t>
      </w:r>
      <w:r w:rsidR="00B86178">
        <w:rPr>
          <w:lang w:val="sr-Cyrl-RS"/>
        </w:rPr>
        <w:t>generalni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sekretar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Narodne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skupštine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propisuje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30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>.</w:t>
      </w:r>
    </w:p>
    <w:p w14:paraId="2A1E0B86" w14:textId="241CC343" w:rsidR="00AB014E" w:rsidRPr="0084430E" w:rsidRDefault="00B86178" w:rsidP="00AB014E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AB014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47105">
        <w:rPr>
          <w:lang w:val="sr-Cyrl-RS"/>
        </w:rPr>
        <w:t>4</w:t>
      </w:r>
      <w:r w:rsidR="00AB014E" w:rsidRPr="0084430E">
        <w:rPr>
          <w:lang w:val="sr-Cyrl-RS"/>
        </w:rPr>
        <w:t>.</w:t>
      </w:r>
    </w:p>
    <w:p w14:paraId="5DACDDB5" w14:textId="744D63A9" w:rsidR="00AB014E" w:rsidRPr="0084430E" w:rsidRDefault="00E30F91" w:rsidP="00AB014E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lastRenderedPageBreak/>
        <w:tab/>
      </w:r>
      <w:r w:rsidR="00B86178">
        <w:rPr>
          <w:lang w:val="sr-Cyrl-RS"/>
        </w:rPr>
        <w:t>Akt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iz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4</w:t>
      </w:r>
      <w:r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(</w:t>
      </w:r>
      <w:r w:rsidR="00B86178">
        <w:rPr>
          <w:lang w:val="sr-Cyrl-RS"/>
        </w:rPr>
        <w:t>član</w:t>
      </w:r>
      <w:r w:rsidR="00AB014E" w:rsidRPr="0084430E">
        <w:rPr>
          <w:lang w:val="sr-Cyrl-RS"/>
        </w:rPr>
        <w:t xml:space="preserve"> 22</w:t>
      </w:r>
      <w:r w:rsidR="00B86178">
        <w:rPr>
          <w:lang w:val="sr-Cyrl-RS"/>
        </w:rPr>
        <w:t>j</w:t>
      </w:r>
      <w:r w:rsidRPr="0084430E">
        <w:rPr>
          <w:lang w:val="sr-Cyrl-RS"/>
        </w:rPr>
        <w:t>)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Komisija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donosi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A21068" w:rsidRPr="0084430E">
        <w:rPr>
          <w:lang w:val="sr-Cyrl-RS"/>
        </w:rPr>
        <w:t>30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C61C05" w:rsidRPr="0084430E">
        <w:rPr>
          <w:lang w:val="sr-Cyrl-RS"/>
        </w:rPr>
        <w:t xml:space="preserve"> </w:t>
      </w:r>
      <w:r w:rsidR="00B86178">
        <w:rPr>
          <w:lang w:val="sr-Cyrl-RS"/>
        </w:rPr>
        <w:t>imenovanja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i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zamenika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članova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postupku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koji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bude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pokrenut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osnovu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AB014E" w:rsidRPr="0084430E">
        <w:rPr>
          <w:lang w:val="sr-Cyrl-RS"/>
        </w:rPr>
        <w:t xml:space="preserve"> </w:t>
      </w:r>
      <w:r w:rsidR="00E12384" w:rsidRPr="0084430E">
        <w:rPr>
          <w:lang w:val="sr-Cyrl-RS"/>
        </w:rPr>
        <w:t>6</w:t>
      </w:r>
      <w:r w:rsidR="00AB014E" w:rsidRPr="0084430E">
        <w:rPr>
          <w:lang w:val="sr-Cyrl-RS"/>
        </w:rPr>
        <w:t xml:space="preserve">. </w:t>
      </w:r>
      <w:r w:rsidR="00B86178">
        <w:rPr>
          <w:lang w:val="sr-Cyrl-RS"/>
        </w:rPr>
        <w:t>ovog</w:t>
      </w:r>
      <w:r w:rsidR="00AB014E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AB014E" w:rsidRPr="0084430E">
        <w:rPr>
          <w:lang w:val="sr-Cyrl-RS"/>
        </w:rPr>
        <w:t>.</w:t>
      </w:r>
    </w:p>
    <w:p w14:paraId="4BC25447" w14:textId="592408F4" w:rsidR="00CC0395" w:rsidRPr="0084430E" w:rsidRDefault="00B86178" w:rsidP="00CC0395">
      <w:pPr>
        <w:tabs>
          <w:tab w:val="left" w:pos="126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CC0395" w:rsidRPr="0084430E">
        <w:rPr>
          <w:lang w:val="sr-Cyrl-RS"/>
        </w:rPr>
        <w:t xml:space="preserve"> 1</w:t>
      </w:r>
      <w:r w:rsidR="00547105">
        <w:rPr>
          <w:lang w:val="sr-Cyrl-RS"/>
        </w:rPr>
        <w:t>5</w:t>
      </w:r>
      <w:r w:rsidR="00CC0395" w:rsidRPr="0084430E">
        <w:rPr>
          <w:lang w:val="sr-Cyrl-RS"/>
        </w:rPr>
        <w:t>.</w:t>
      </w:r>
    </w:p>
    <w:p w14:paraId="7E56E0A0" w14:textId="5C0AFB7C" w:rsidR="00D14CB7" w:rsidRPr="0084430E" w:rsidRDefault="00CC0395" w:rsidP="00CC0395">
      <w:pPr>
        <w:tabs>
          <w:tab w:val="left" w:pos="1260"/>
        </w:tabs>
        <w:spacing w:after="240"/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Veb</w:t>
      </w:r>
      <w:r w:rsidRPr="0084430E">
        <w:rPr>
          <w:lang w:val="sr-Cyrl-RS"/>
        </w:rPr>
        <w:t>-</w:t>
      </w:r>
      <w:r w:rsidR="00B86178">
        <w:rPr>
          <w:lang w:val="sr-Cyrl-RS"/>
        </w:rPr>
        <w:t>prezentacija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Komisije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uspostavlja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roku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E1616B" w:rsidRPr="0084430E">
        <w:rPr>
          <w:lang w:val="sr-Cyrl-RS"/>
        </w:rPr>
        <w:t xml:space="preserve"> 30 </w:t>
      </w:r>
      <w:r w:rsidR="00B86178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="00E1616B"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="00E1616B" w:rsidRPr="0084430E">
        <w:rPr>
          <w:lang w:val="sr-Cyrl-RS"/>
        </w:rPr>
        <w:t xml:space="preserve">. </w:t>
      </w:r>
    </w:p>
    <w:p w14:paraId="0CD6AC6B" w14:textId="284CD64A" w:rsidR="00C16077" w:rsidRPr="0084430E" w:rsidRDefault="00B86178" w:rsidP="00C848D9">
      <w:pPr>
        <w:tabs>
          <w:tab w:val="left" w:pos="1170"/>
        </w:tabs>
        <w:spacing w:after="120"/>
        <w:jc w:val="center"/>
        <w:rPr>
          <w:lang w:val="sr-Cyrl-RS"/>
        </w:rPr>
      </w:pPr>
      <w:r>
        <w:rPr>
          <w:lang w:val="sr-Cyrl-RS"/>
        </w:rPr>
        <w:t>Član</w:t>
      </w:r>
      <w:r w:rsidR="00091FAE" w:rsidRPr="0084430E">
        <w:rPr>
          <w:lang w:val="sr-Cyrl-RS"/>
        </w:rPr>
        <w:t xml:space="preserve"> </w:t>
      </w:r>
      <w:r w:rsidR="00AD5DE8" w:rsidRPr="0084430E">
        <w:rPr>
          <w:lang w:val="sr-Cyrl-RS"/>
        </w:rPr>
        <w:t>1</w:t>
      </w:r>
      <w:r w:rsidR="00547105">
        <w:rPr>
          <w:lang w:val="sr-Cyrl-RS"/>
        </w:rPr>
        <w:t>6</w:t>
      </w:r>
      <w:r w:rsidR="00091FAE" w:rsidRPr="0084430E">
        <w:rPr>
          <w:lang w:val="sr-Cyrl-RS"/>
        </w:rPr>
        <w:t>.</w:t>
      </w:r>
    </w:p>
    <w:p w14:paraId="22A13880" w14:textId="7755ABAC" w:rsidR="00B224CE" w:rsidRPr="0084430E" w:rsidRDefault="00C16077" w:rsidP="00797C1F">
      <w:pPr>
        <w:tabs>
          <w:tab w:val="left" w:pos="1170"/>
        </w:tabs>
        <w:jc w:val="both"/>
        <w:rPr>
          <w:lang w:val="sr-Cyrl-RS"/>
        </w:rPr>
      </w:pPr>
      <w:r w:rsidRPr="0084430E">
        <w:rPr>
          <w:lang w:val="sr-Cyrl-RS"/>
        </w:rPr>
        <w:tab/>
      </w:r>
      <w:r w:rsidR="00B86178">
        <w:rPr>
          <w:lang w:val="sr-Cyrl-RS"/>
        </w:rPr>
        <w:t>Ovaj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stupa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osmog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objavljivanja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u</w:t>
      </w:r>
      <w:r w:rsidRPr="0084430E">
        <w:rPr>
          <w:lang w:val="sr-Cyrl-RS"/>
        </w:rPr>
        <w:t xml:space="preserve"> „</w:t>
      </w:r>
      <w:r w:rsidR="00B86178">
        <w:rPr>
          <w:lang w:val="sr-Cyrl-RS"/>
        </w:rPr>
        <w:t>Službenom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glasniku</w:t>
      </w:r>
      <w:r w:rsidR="00EF5042" w:rsidRPr="0084430E">
        <w:rPr>
          <w:lang w:val="sr-Cyrl-RS"/>
        </w:rPr>
        <w:t xml:space="preserve"> </w:t>
      </w:r>
      <w:r w:rsidR="00B86178">
        <w:rPr>
          <w:lang w:val="sr-Cyrl-RS"/>
        </w:rPr>
        <w:t>Republike</w:t>
      </w:r>
      <w:r w:rsidR="00EF5042" w:rsidRPr="0084430E">
        <w:rPr>
          <w:lang w:val="sr-Cyrl-RS"/>
        </w:rPr>
        <w:t xml:space="preserve"> </w:t>
      </w:r>
      <w:r w:rsidR="00B86178">
        <w:rPr>
          <w:lang w:val="sr-Cyrl-RS"/>
        </w:rPr>
        <w:t>Srbije</w:t>
      </w:r>
      <w:r w:rsidR="00EF5042" w:rsidRPr="0084430E">
        <w:rPr>
          <w:lang w:val="sr-Cyrl-RS"/>
        </w:rPr>
        <w:t xml:space="preserve">“, </w:t>
      </w:r>
      <w:r w:rsidR="00B86178">
        <w:rPr>
          <w:lang w:val="sr-Cyrl-RS"/>
        </w:rPr>
        <w:t>osim</w:t>
      </w:r>
      <w:r w:rsidR="00EF5042" w:rsidRPr="0084430E">
        <w:rPr>
          <w:lang w:val="sr-Cyrl-RS"/>
        </w:rPr>
        <w:t xml:space="preserve"> </w:t>
      </w:r>
      <w:r w:rsidR="00B86178">
        <w:rPr>
          <w:lang w:val="sr-Cyrl-RS"/>
        </w:rPr>
        <w:t>člana</w:t>
      </w:r>
      <w:r w:rsidR="00EF5042" w:rsidRPr="0084430E">
        <w:rPr>
          <w:lang w:val="sr-Cyrl-RS"/>
        </w:rPr>
        <w:t xml:space="preserve"> </w:t>
      </w:r>
      <w:r w:rsidR="00F62548" w:rsidRPr="0084430E">
        <w:rPr>
          <w:lang w:val="sr-Cyrl-RS"/>
        </w:rPr>
        <w:t>2</w:t>
      </w:r>
      <w:r w:rsidR="00EF5042" w:rsidRPr="0084430E">
        <w:rPr>
          <w:lang w:val="sr-Cyrl-RS"/>
        </w:rPr>
        <w:t xml:space="preserve">. </w:t>
      </w:r>
      <w:r w:rsidR="00B86178">
        <w:rPr>
          <w:lang w:val="sr-Cyrl-RS"/>
        </w:rPr>
        <w:t>koji</w:t>
      </w:r>
      <w:r w:rsidR="00AA4173" w:rsidRPr="0084430E">
        <w:rPr>
          <w:lang w:val="sr-Cyrl-RS"/>
        </w:rPr>
        <w:t xml:space="preserve"> </w:t>
      </w:r>
      <w:r w:rsidR="00B86178">
        <w:rPr>
          <w:lang w:val="sr-Cyrl-RS"/>
        </w:rPr>
        <w:t>se</w:t>
      </w:r>
      <w:r w:rsidR="00AA4173" w:rsidRPr="0084430E">
        <w:rPr>
          <w:lang w:val="sr-Cyrl-RS"/>
        </w:rPr>
        <w:t xml:space="preserve"> </w:t>
      </w:r>
      <w:r w:rsidR="00B86178">
        <w:rPr>
          <w:lang w:val="sr-Cyrl-RS"/>
        </w:rPr>
        <w:t>primenjuje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po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isteku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jedne</w:t>
      </w:r>
      <w:r w:rsidR="00B85485" w:rsidRPr="0084430E">
        <w:rPr>
          <w:lang w:val="sr-Cyrl-RS"/>
        </w:rPr>
        <w:t xml:space="preserve"> </w:t>
      </w:r>
      <w:r w:rsidR="00B86178">
        <w:rPr>
          <w:lang w:val="sr-Cyrl-RS"/>
        </w:rPr>
        <w:t>godine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od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dana</w:t>
      </w:r>
      <w:r w:rsidR="00B85485" w:rsidRPr="0084430E">
        <w:rPr>
          <w:lang w:val="sr-Cyrl-RS"/>
        </w:rPr>
        <w:t xml:space="preserve"> </w:t>
      </w:r>
      <w:r w:rsidR="00B86178">
        <w:rPr>
          <w:lang w:val="sr-Cyrl-RS"/>
        </w:rPr>
        <w:t>stupanja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ovog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zakona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na</w:t>
      </w:r>
      <w:r w:rsidRPr="0084430E">
        <w:rPr>
          <w:lang w:val="sr-Cyrl-RS"/>
        </w:rPr>
        <w:t xml:space="preserve"> </w:t>
      </w:r>
      <w:r w:rsidR="00B86178">
        <w:rPr>
          <w:lang w:val="sr-Cyrl-RS"/>
        </w:rPr>
        <w:t>snagu</w:t>
      </w:r>
      <w:r w:rsidR="007F7D9A" w:rsidRPr="0084430E">
        <w:rPr>
          <w:lang w:val="sr-Cyrl-RS"/>
        </w:rPr>
        <w:t>.</w:t>
      </w:r>
    </w:p>
    <w:sectPr w:rsidR="00B224CE" w:rsidRPr="0084430E" w:rsidSect="000315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C4314" w14:textId="77777777" w:rsidR="00AC395C" w:rsidRDefault="00AC395C" w:rsidP="001E3E13">
      <w:r>
        <w:separator/>
      </w:r>
    </w:p>
  </w:endnote>
  <w:endnote w:type="continuationSeparator" w:id="0">
    <w:p w14:paraId="6F52C5ED" w14:textId="77777777" w:rsidR="00AC395C" w:rsidRDefault="00AC395C" w:rsidP="001E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2910F" w14:textId="77777777" w:rsidR="00B86178" w:rsidRDefault="00B861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FAE17" w14:textId="77777777" w:rsidR="00B86178" w:rsidRDefault="00B861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6E637" w14:textId="77777777" w:rsidR="00B86178" w:rsidRDefault="00B86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6BC7" w14:textId="77777777" w:rsidR="00AC395C" w:rsidRDefault="00AC395C" w:rsidP="001E3E13">
      <w:r>
        <w:separator/>
      </w:r>
    </w:p>
  </w:footnote>
  <w:footnote w:type="continuationSeparator" w:id="0">
    <w:p w14:paraId="7FD46905" w14:textId="77777777" w:rsidR="00AC395C" w:rsidRDefault="00AC395C" w:rsidP="001E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162BE" w14:textId="77777777" w:rsidR="00B86178" w:rsidRDefault="00B861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743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5B42B6" w14:textId="544D9B89" w:rsidR="00CE2E4A" w:rsidRDefault="00CE2E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178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C1AFCAA" w14:textId="77777777" w:rsidR="00CE2E4A" w:rsidRDefault="00CE2E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513FE" w14:textId="474B1075" w:rsidR="00CE2E4A" w:rsidRPr="007B7338" w:rsidRDefault="00B4792E" w:rsidP="00B13BD0">
    <w:pPr>
      <w:pStyle w:val="Header"/>
      <w:jc w:val="right"/>
    </w:pPr>
    <w:r>
      <w:rPr>
        <w:lang w:val="sr-Cyrl-RS"/>
      </w:rPr>
      <w:t>12</w:t>
    </w:r>
    <w:r w:rsidR="00CE2E4A">
      <w:t>.0</w:t>
    </w:r>
    <w:r w:rsidR="00CE2E4A">
      <w:rPr>
        <w:lang w:val="sr-Cyrl-RS"/>
      </w:rPr>
      <w:t>9</w:t>
    </w:r>
    <w:r w:rsidR="00CE2E4A">
      <w:t>.2025.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4EA1"/>
    <w:multiLevelType w:val="multilevel"/>
    <w:tmpl w:val="8A4AD09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EE49B0"/>
    <w:multiLevelType w:val="multilevel"/>
    <w:tmpl w:val="59E2C24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95DE2"/>
    <w:multiLevelType w:val="multilevel"/>
    <w:tmpl w:val="E850F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16"/>
    <w:rsid w:val="0000123B"/>
    <w:rsid w:val="00003EC0"/>
    <w:rsid w:val="000064CA"/>
    <w:rsid w:val="00012091"/>
    <w:rsid w:val="00014959"/>
    <w:rsid w:val="00017697"/>
    <w:rsid w:val="00023F7F"/>
    <w:rsid w:val="00025045"/>
    <w:rsid w:val="000315A1"/>
    <w:rsid w:val="000315B8"/>
    <w:rsid w:val="00032739"/>
    <w:rsid w:val="00033AE9"/>
    <w:rsid w:val="0004028F"/>
    <w:rsid w:val="00040A87"/>
    <w:rsid w:val="000475D7"/>
    <w:rsid w:val="000518C0"/>
    <w:rsid w:val="00052486"/>
    <w:rsid w:val="00055B38"/>
    <w:rsid w:val="000576DF"/>
    <w:rsid w:val="000578B0"/>
    <w:rsid w:val="000629AE"/>
    <w:rsid w:val="00062B34"/>
    <w:rsid w:val="00062E80"/>
    <w:rsid w:val="0006342A"/>
    <w:rsid w:val="00063E1C"/>
    <w:rsid w:val="000663B4"/>
    <w:rsid w:val="0006669D"/>
    <w:rsid w:val="000737BB"/>
    <w:rsid w:val="00073F4C"/>
    <w:rsid w:val="0007568B"/>
    <w:rsid w:val="00075FE5"/>
    <w:rsid w:val="00076F2F"/>
    <w:rsid w:val="0008374F"/>
    <w:rsid w:val="00083C79"/>
    <w:rsid w:val="000878CE"/>
    <w:rsid w:val="00090E7B"/>
    <w:rsid w:val="00090FC7"/>
    <w:rsid w:val="00091FAE"/>
    <w:rsid w:val="0009386A"/>
    <w:rsid w:val="00094F43"/>
    <w:rsid w:val="000A2775"/>
    <w:rsid w:val="000A3098"/>
    <w:rsid w:val="000A3A36"/>
    <w:rsid w:val="000A4942"/>
    <w:rsid w:val="000A7D66"/>
    <w:rsid w:val="000B0329"/>
    <w:rsid w:val="000B104A"/>
    <w:rsid w:val="000B1616"/>
    <w:rsid w:val="000B3426"/>
    <w:rsid w:val="000B40A5"/>
    <w:rsid w:val="000B5268"/>
    <w:rsid w:val="000C0881"/>
    <w:rsid w:val="000C0C4F"/>
    <w:rsid w:val="000C3950"/>
    <w:rsid w:val="000C43EE"/>
    <w:rsid w:val="000C64A5"/>
    <w:rsid w:val="000C7305"/>
    <w:rsid w:val="000D3578"/>
    <w:rsid w:val="000E0C1B"/>
    <w:rsid w:val="000E28CC"/>
    <w:rsid w:val="000E4FBF"/>
    <w:rsid w:val="000F0533"/>
    <w:rsid w:val="000F27E0"/>
    <w:rsid w:val="000F2BB1"/>
    <w:rsid w:val="000F5AE0"/>
    <w:rsid w:val="000F5F02"/>
    <w:rsid w:val="000F693D"/>
    <w:rsid w:val="001021DA"/>
    <w:rsid w:val="00103C82"/>
    <w:rsid w:val="0010438D"/>
    <w:rsid w:val="001116DA"/>
    <w:rsid w:val="00112990"/>
    <w:rsid w:val="00112C89"/>
    <w:rsid w:val="00113646"/>
    <w:rsid w:val="00113C07"/>
    <w:rsid w:val="001171EE"/>
    <w:rsid w:val="00122A60"/>
    <w:rsid w:val="0012699D"/>
    <w:rsid w:val="00127991"/>
    <w:rsid w:val="00132F3E"/>
    <w:rsid w:val="00144BB4"/>
    <w:rsid w:val="00150165"/>
    <w:rsid w:val="00151C2A"/>
    <w:rsid w:val="001521F1"/>
    <w:rsid w:val="00154B37"/>
    <w:rsid w:val="00155B01"/>
    <w:rsid w:val="0015681A"/>
    <w:rsid w:val="00160962"/>
    <w:rsid w:val="00162EFC"/>
    <w:rsid w:val="00166554"/>
    <w:rsid w:val="00166ADD"/>
    <w:rsid w:val="00171006"/>
    <w:rsid w:val="00174692"/>
    <w:rsid w:val="001758CF"/>
    <w:rsid w:val="00177657"/>
    <w:rsid w:val="00177A63"/>
    <w:rsid w:val="0018417E"/>
    <w:rsid w:val="00187C88"/>
    <w:rsid w:val="00190A72"/>
    <w:rsid w:val="00190DE5"/>
    <w:rsid w:val="00192E75"/>
    <w:rsid w:val="001948EC"/>
    <w:rsid w:val="00196CE0"/>
    <w:rsid w:val="001A42AE"/>
    <w:rsid w:val="001A4BA6"/>
    <w:rsid w:val="001A7936"/>
    <w:rsid w:val="001B3480"/>
    <w:rsid w:val="001B3F95"/>
    <w:rsid w:val="001B7D27"/>
    <w:rsid w:val="001C0473"/>
    <w:rsid w:val="001C0EC6"/>
    <w:rsid w:val="001C3512"/>
    <w:rsid w:val="001C3CA1"/>
    <w:rsid w:val="001C7A90"/>
    <w:rsid w:val="001D2116"/>
    <w:rsid w:val="001D2374"/>
    <w:rsid w:val="001D2CD0"/>
    <w:rsid w:val="001D4814"/>
    <w:rsid w:val="001D6A3F"/>
    <w:rsid w:val="001D75D7"/>
    <w:rsid w:val="001D7FC2"/>
    <w:rsid w:val="001E074C"/>
    <w:rsid w:val="001E3E13"/>
    <w:rsid w:val="001E55D4"/>
    <w:rsid w:val="001F07DB"/>
    <w:rsid w:val="001F14F1"/>
    <w:rsid w:val="001F1D4C"/>
    <w:rsid w:val="001F3E1F"/>
    <w:rsid w:val="001F4239"/>
    <w:rsid w:val="001F737F"/>
    <w:rsid w:val="00200322"/>
    <w:rsid w:val="00202B17"/>
    <w:rsid w:val="00203A7D"/>
    <w:rsid w:val="00204B9C"/>
    <w:rsid w:val="002050ED"/>
    <w:rsid w:val="002060CC"/>
    <w:rsid w:val="002061B2"/>
    <w:rsid w:val="00207CE7"/>
    <w:rsid w:val="00210A1D"/>
    <w:rsid w:val="00210C5F"/>
    <w:rsid w:val="002110E9"/>
    <w:rsid w:val="00214EED"/>
    <w:rsid w:val="00216E6F"/>
    <w:rsid w:val="002219DC"/>
    <w:rsid w:val="00223863"/>
    <w:rsid w:val="002238AA"/>
    <w:rsid w:val="0022483A"/>
    <w:rsid w:val="00224D86"/>
    <w:rsid w:val="00224F52"/>
    <w:rsid w:val="002264C5"/>
    <w:rsid w:val="00230384"/>
    <w:rsid w:val="00232931"/>
    <w:rsid w:val="00232B9D"/>
    <w:rsid w:val="002337B8"/>
    <w:rsid w:val="002372E3"/>
    <w:rsid w:val="002421AB"/>
    <w:rsid w:val="00243181"/>
    <w:rsid w:val="002459FA"/>
    <w:rsid w:val="00255635"/>
    <w:rsid w:val="00257735"/>
    <w:rsid w:val="00257DDD"/>
    <w:rsid w:val="0026346F"/>
    <w:rsid w:val="00263C67"/>
    <w:rsid w:val="002671F3"/>
    <w:rsid w:val="00271588"/>
    <w:rsid w:val="00273D3E"/>
    <w:rsid w:val="00276F2A"/>
    <w:rsid w:val="00280848"/>
    <w:rsid w:val="00281C72"/>
    <w:rsid w:val="002824C7"/>
    <w:rsid w:val="00284926"/>
    <w:rsid w:val="00291424"/>
    <w:rsid w:val="00291564"/>
    <w:rsid w:val="002923FF"/>
    <w:rsid w:val="0029662C"/>
    <w:rsid w:val="002A1282"/>
    <w:rsid w:val="002A1F53"/>
    <w:rsid w:val="002A44D5"/>
    <w:rsid w:val="002A5344"/>
    <w:rsid w:val="002A58FA"/>
    <w:rsid w:val="002A5E59"/>
    <w:rsid w:val="002A6E7D"/>
    <w:rsid w:val="002B4F8D"/>
    <w:rsid w:val="002C101D"/>
    <w:rsid w:val="002C166F"/>
    <w:rsid w:val="002C486F"/>
    <w:rsid w:val="002C51F4"/>
    <w:rsid w:val="002C6C5D"/>
    <w:rsid w:val="002C70A2"/>
    <w:rsid w:val="002D1DC2"/>
    <w:rsid w:val="002D33A2"/>
    <w:rsid w:val="002D4FA6"/>
    <w:rsid w:val="002D6F71"/>
    <w:rsid w:val="002D7BF8"/>
    <w:rsid w:val="002E0581"/>
    <w:rsid w:val="002E4656"/>
    <w:rsid w:val="002E6A46"/>
    <w:rsid w:val="002F2E11"/>
    <w:rsid w:val="002F368B"/>
    <w:rsid w:val="002F63D8"/>
    <w:rsid w:val="00306292"/>
    <w:rsid w:val="0031303B"/>
    <w:rsid w:val="003145FA"/>
    <w:rsid w:val="00315AE5"/>
    <w:rsid w:val="0031684E"/>
    <w:rsid w:val="0032035B"/>
    <w:rsid w:val="00321E01"/>
    <w:rsid w:val="003256DA"/>
    <w:rsid w:val="00327B4E"/>
    <w:rsid w:val="00330F87"/>
    <w:rsid w:val="00330FA9"/>
    <w:rsid w:val="00332B43"/>
    <w:rsid w:val="00337CE2"/>
    <w:rsid w:val="00341EDD"/>
    <w:rsid w:val="003453C8"/>
    <w:rsid w:val="00346C6B"/>
    <w:rsid w:val="00350A5A"/>
    <w:rsid w:val="00352769"/>
    <w:rsid w:val="00354173"/>
    <w:rsid w:val="00354500"/>
    <w:rsid w:val="00355C0E"/>
    <w:rsid w:val="003570B3"/>
    <w:rsid w:val="003615C1"/>
    <w:rsid w:val="00364E72"/>
    <w:rsid w:val="00365705"/>
    <w:rsid w:val="0036712A"/>
    <w:rsid w:val="00370D4B"/>
    <w:rsid w:val="00373D96"/>
    <w:rsid w:val="003747A8"/>
    <w:rsid w:val="00380A91"/>
    <w:rsid w:val="00381EBE"/>
    <w:rsid w:val="003821A9"/>
    <w:rsid w:val="0038294F"/>
    <w:rsid w:val="0038493B"/>
    <w:rsid w:val="00387667"/>
    <w:rsid w:val="003906D5"/>
    <w:rsid w:val="00392322"/>
    <w:rsid w:val="00392CAB"/>
    <w:rsid w:val="003954A7"/>
    <w:rsid w:val="003A09BC"/>
    <w:rsid w:val="003A72D4"/>
    <w:rsid w:val="003B2214"/>
    <w:rsid w:val="003B2233"/>
    <w:rsid w:val="003C6CE3"/>
    <w:rsid w:val="003C6ECB"/>
    <w:rsid w:val="003D15CE"/>
    <w:rsid w:val="003D1AE1"/>
    <w:rsid w:val="003E1172"/>
    <w:rsid w:val="003E2D0D"/>
    <w:rsid w:val="003E3ACA"/>
    <w:rsid w:val="003E571C"/>
    <w:rsid w:val="003F0FF0"/>
    <w:rsid w:val="003F31B5"/>
    <w:rsid w:val="003F3FB8"/>
    <w:rsid w:val="003F4132"/>
    <w:rsid w:val="003F6153"/>
    <w:rsid w:val="00401720"/>
    <w:rsid w:val="00404556"/>
    <w:rsid w:val="00407E3A"/>
    <w:rsid w:val="004158FD"/>
    <w:rsid w:val="00416DEB"/>
    <w:rsid w:val="00431740"/>
    <w:rsid w:val="0043686F"/>
    <w:rsid w:val="004375A2"/>
    <w:rsid w:val="00440618"/>
    <w:rsid w:val="00440A14"/>
    <w:rsid w:val="0044486D"/>
    <w:rsid w:val="00445568"/>
    <w:rsid w:val="00445B5D"/>
    <w:rsid w:val="00450DFC"/>
    <w:rsid w:val="00451030"/>
    <w:rsid w:val="00453EAB"/>
    <w:rsid w:val="00454E4D"/>
    <w:rsid w:val="00460FF6"/>
    <w:rsid w:val="00462947"/>
    <w:rsid w:val="004633D9"/>
    <w:rsid w:val="00466E53"/>
    <w:rsid w:val="004705E3"/>
    <w:rsid w:val="00471E21"/>
    <w:rsid w:val="0047751A"/>
    <w:rsid w:val="00481536"/>
    <w:rsid w:val="00481E3F"/>
    <w:rsid w:val="00485289"/>
    <w:rsid w:val="004859AF"/>
    <w:rsid w:val="00486B9C"/>
    <w:rsid w:val="00487131"/>
    <w:rsid w:val="00491B8E"/>
    <w:rsid w:val="00497661"/>
    <w:rsid w:val="00497767"/>
    <w:rsid w:val="004A09B6"/>
    <w:rsid w:val="004A13E1"/>
    <w:rsid w:val="004A2390"/>
    <w:rsid w:val="004A4E71"/>
    <w:rsid w:val="004B1A58"/>
    <w:rsid w:val="004B3D28"/>
    <w:rsid w:val="004B50E6"/>
    <w:rsid w:val="004B6330"/>
    <w:rsid w:val="004B77E6"/>
    <w:rsid w:val="004C1A4C"/>
    <w:rsid w:val="004C26CB"/>
    <w:rsid w:val="004C66F5"/>
    <w:rsid w:val="004D218B"/>
    <w:rsid w:val="004D2796"/>
    <w:rsid w:val="004D42A3"/>
    <w:rsid w:val="004D691A"/>
    <w:rsid w:val="004E21AD"/>
    <w:rsid w:val="004E794F"/>
    <w:rsid w:val="004F2E2D"/>
    <w:rsid w:val="004F5E25"/>
    <w:rsid w:val="004F6615"/>
    <w:rsid w:val="00504E59"/>
    <w:rsid w:val="00505BCC"/>
    <w:rsid w:val="00505C52"/>
    <w:rsid w:val="005066EB"/>
    <w:rsid w:val="005105D6"/>
    <w:rsid w:val="005136A2"/>
    <w:rsid w:val="0051376D"/>
    <w:rsid w:val="00514671"/>
    <w:rsid w:val="00515EB8"/>
    <w:rsid w:val="0051775D"/>
    <w:rsid w:val="0052190D"/>
    <w:rsid w:val="0052396F"/>
    <w:rsid w:val="00523B4D"/>
    <w:rsid w:val="00524F02"/>
    <w:rsid w:val="0052633C"/>
    <w:rsid w:val="00531312"/>
    <w:rsid w:val="005335DC"/>
    <w:rsid w:val="005362AE"/>
    <w:rsid w:val="005408F5"/>
    <w:rsid w:val="0054103B"/>
    <w:rsid w:val="00545D46"/>
    <w:rsid w:val="00545F5F"/>
    <w:rsid w:val="00547105"/>
    <w:rsid w:val="0055031F"/>
    <w:rsid w:val="00550528"/>
    <w:rsid w:val="0055432B"/>
    <w:rsid w:val="005547DE"/>
    <w:rsid w:val="00554BA2"/>
    <w:rsid w:val="00554ECB"/>
    <w:rsid w:val="00557061"/>
    <w:rsid w:val="00560690"/>
    <w:rsid w:val="005618A9"/>
    <w:rsid w:val="005702FA"/>
    <w:rsid w:val="005871A6"/>
    <w:rsid w:val="00591FCD"/>
    <w:rsid w:val="00594C50"/>
    <w:rsid w:val="005957C5"/>
    <w:rsid w:val="005A4F2B"/>
    <w:rsid w:val="005A51CF"/>
    <w:rsid w:val="005A7C80"/>
    <w:rsid w:val="005B3850"/>
    <w:rsid w:val="005B4181"/>
    <w:rsid w:val="005B4DD4"/>
    <w:rsid w:val="005B71B4"/>
    <w:rsid w:val="005B7A66"/>
    <w:rsid w:val="005B7AA1"/>
    <w:rsid w:val="005C4BEA"/>
    <w:rsid w:val="005C64E4"/>
    <w:rsid w:val="005C6574"/>
    <w:rsid w:val="005D0997"/>
    <w:rsid w:val="005D21EC"/>
    <w:rsid w:val="005D508E"/>
    <w:rsid w:val="005D5577"/>
    <w:rsid w:val="005D69EF"/>
    <w:rsid w:val="005D6BBB"/>
    <w:rsid w:val="005E024D"/>
    <w:rsid w:val="005E0AB2"/>
    <w:rsid w:val="005E4331"/>
    <w:rsid w:val="005E4618"/>
    <w:rsid w:val="005E4BC5"/>
    <w:rsid w:val="005E4D43"/>
    <w:rsid w:val="005E6166"/>
    <w:rsid w:val="005F221A"/>
    <w:rsid w:val="006027F8"/>
    <w:rsid w:val="0060326A"/>
    <w:rsid w:val="006036A9"/>
    <w:rsid w:val="006046CC"/>
    <w:rsid w:val="00605DDD"/>
    <w:rsid w:val="00606890"/>
    <w:rsid w:val="00607CC6"/>
    <w:rsid w:val="006107E0"/>
    <w:rsid w:val="00610DA1"/>
    <w:rsid w:val="00612339"/>
    <w:rsid w:val="00613374"/>
    <w:rsid w:val="00614633"/>
    <w:rsid w:val="006152E0"/>
    <w:rsid w:val="0061573F"/>
    <w:rsid w:val="00616488"/>
    <w:rsid w:val="00622639"/>
    <w:rsid w:val="00623D90"/>
    <w:rsid w:val="006248D2"/>
    <w:rsid w:val="006274E6"/>
    <w:rsid w:val="006307DF"/>
    <w:rsid w:val="00633A2A"/>
    <w:rsid w:val="00636220"/>
    <w:rsid w:val="006363D1"/>
    <w:rsid w:val="006368EB"/>
    <w:rsid w:val="00642EE6"/>
    <w:rsid w:val="00653AA2"/>
    <w:rsid w:val="0065442C"/>
    <w:rsid w:val="00655473"/>
    <w:rsid w:val="00656940"/>
    <w:rsid w:val="00656B01"/>
    <w:rsid w:val="00657D11"/>
    <w:rsid w:val="0066227F"/>
    <w:rsid w:val="00662910"/>
    <w:rsid w:val="00662ED7"/>
    <w:rsid w:val="00664053"/>
    <w:rsid w:val="00665655"/>
    <w:rsid w:val="00673988"/>
    <w:rsid w:val="006758CD"/>
    <w:rsid w:val="0067711D"/>
    <w:rsid w:val="00681C8D"/>
    <w:rsid w:val="00682C42"/>
    <w:rsid w:val="00683DAD"/>
    <w:rsid w:val="00684A90"/>
    <w:rsid w:val="006904FE"/>
    <w:rsid w:val="0069609E"/>
    <w:rsid w:val="006A24FF"/>
    <w:rsid w:val="006A28B7"/>
    <w:rsid w:val="006A34A5"/>
    <w:rsid w:val="006A38AB"/>
    <w:rsid w:val="006A5DB9"/>
    <w:rsid w:val="006B1304"/>
    <w:rsid w:val="006B403D"/>
    <w:rsid w:val="006B4AE9"/>
    <w:rsid w:val="006C0F42"/>
    <w:rsid w:val="006C4816"/>
    <w:rsid w:val="006C4967"/>
    <w:rsid w:val="006D5BE4"/>
    <w:rsid w:val="006D6D26"/>
    <w:rsid w:val="006E2B18"/>
    <w:rsid w:val="006E533E"/>
    <w:rsid w:val="006E75AC"/>
    <w:rsid w:val="006F14C2"/>
    <w:rsid w:val="006F2C5F"/>
    <w:rsid w:val="006F30DC"/>
    <w:rsid w:val="006F435C"/>
    <w:rsid w:val="006F59F9"/>
    <w:rsid w:val="007013E4"/>
    <w:rsid w:val="007015C9"/>
    <w:rsid w:val="0070552E"/>
    <w:rsid w:val="00711C3F"/>
    <w:rsid w:val="0071249D"/>
    <w:rsid w:val="007132E0"/>
    <w:rsid w:val="007177CC"/>
    <w:rsid w:val="00725645"/>
    <w:rsid w:val="00726434"/>
    <w:rsid w:val="00732338"/>
    <w:rsid w:val="007327BE"/>
    <w:rsid w:val="00732B05"/>
    <w:rsid w:val="007351FB"/>
    <w:rsid w:val="00744806"/>
    <w:rsid w:val="00745FF3"/>
    <w:rsid w:val="00746609"/>
    <w:rsid w:val="00751244"/>
    <w:rsid w:val="00751A91"/>
    <w:rsid w:val="00751B68"/>
    <w:rsid w:val="00753711"/>
    <w:rsid w:val="00755726"/>
    <w:rsid w:val="00760CE8"/>
    <w:rsid w:val="00762653"/>
    <w:rsid w:val="00762AF1"/>
    <w:rsid w:val="00763BE6"/>
    <w:rsid w:val="00763C51"/>
    <w:rsid w:val="00766BC2"/>
    <w:rsid w:val="00767C38"/>
    <w:rsid w:val="007757B8"/>
    <w:rsid w:val="00775C5D"/>
    <w:rsid w:val="007775D1"/>
    <w:rsid w:val="00777BD7"/>
    <w:rsid w:val="007811D6"/>
    <w:rsid w:val="00781616"/>
    <w:rsid w:val="00782BF6"/>
    <w:rsid w:val="007854AB"/>
    <w:rsid w:val="007900CA"/>
    <w:rsid w:val="0079183D"/>
    <w:rsid w:val="00792B36"/>
    <w:rsid w:val="007947F4"/>
    <w:rsid w:val="00795AD4"/>
    <w:rsid w:val="00797C1F"/>
    <w:rsid w:val="007A08E3"/>
    <w:rsid w:val="007A093C"/>
    <w:rsid w:val="007A415A"/>
    <w:rsid w:val="007A4A07"/>
    <w:rsid w:val="007A6DE1"/>
    <w:rsid w:val="007B0C9A"/>
    <w:rsid w:val="007B3A68"/>
    <w:rsid w:val="007B415A"/>
    <w:rsid w:val="007B4E96"/>
    <w:rsid w:val="007B6367"/>
    <w:rsid w:val="007B71E3"/>
    <w:rsid w:val="007B7338"/>
    <w:rsid w:val="007C3F18"/>
    <w:rsid w:val="007C488A"/>
    <w:rsid w:val="007C6492"/>
    <w:rsid w:val="007C6A0C"/>
    <w:rsid w:val="007C7984"/>
    <w:rsid w:val="007D7FEF"/>
    <w:rsid w:val="007E003B"/>
    <w:rsid w:val="007E06D6"/>
    <w:rsid w:val="007E1152"/>
    <w:rsid w:val="007F1B9B"/>
    <w:rsid w:val="007F3A10"/>
    <w:rsid w:val="007F7D9A"/>
    <w:rsid w:val="008002FA"/>
    <w:rsid w:val="00801D4B"/>
    <w:rsid w:val="0080221D"/>
    <w:rsid w:val="00803BF1"/>
    <w:rsid w:val="00804087"/>
    <w:rsid w:val="00812708"/>
    <w:rsid w:val="00816391"/>
    <w:rsid w:val="00820386"/>
    <w:rsid w:val="00823EDB"/>
    <w:rsid w:val="00825214"/>
    <w:rsid w:val="00825FE0"/>
    <w:rsid w:val="00826652"/>
    <w:rsid w:val="008349A1"/>
    <w:rsid w:val="00834B74"/>
    <w:rsid w:val="00836460"/>
    <w:rsid w:val="00836F53"/>
    <w:rsid w:val="0084098D"/>
    <w:rsid w:val="00844113"/>
    <w:rsid w:val="0084430E"/>
    <w:rsid w:val="00851A73"/>
    <w:rsid w:val="008527FB"/>
    <w:rsid w:val="008543FA"/>
    <w:rsid w:val="008544D3"/>
    <w:rsid w:val="008570DA"/>
    <w:rsid w:val="0085751D"/>
    <w:rsid w:val="00860052"/>
    <w:rsid w:val="00860C1E"/>
    <w:rsid w:val="008619FA"/>
    <w:rsid w:val="00870938"/>
    <w:rsid w:val="00880FAC"/>
    <w:rsid w:val="00881A61"/>
    <w:rsid w:val="0088603E"/>
    <w:rsid w:val="0088664E"/>
    <w:rsid w:val="008A05E5"/>
    <w:rsid w:val="008A6AA0"/>
    <w:rsid w:val="008A7170"/>
    <w:rsid w:val="008B06AC"/>
    <w:rsid w:val="008B09AC"/>
    <w:rsid w:val="008B1AD9"/>
    <w:rsid w:val="008B3C95"/>
    <w:rsid w:val="008B6256"/>
    <w:rsid w:val="008C751D"/>
    <w:rsid w:val="008C7A44"/>
    <w:rsid w:val="008C7F52"/>
    <w:rsid w:val="008D4067"/>
    <w:rsid w:val="008D4F37"/>
    <w:rsid w:val="008D5506"/>
    <w:rsid w:val="008D60E7"/>
    <w:rsid w:val="008D6835"/>
    <w:rsid w:val="008E1EF7"/>
    <w:rsid w:val="008E1F2A"/>
    <w:rsid w:val="008F1216"/>
    <w:rsid w:val="008F3BA6"/>
    <w:rsid w:val="008F5ADB"/>
    <w:rsid w:val="008F63BD"/>
    <w:rsid w:val="00907339"/>
    <w:rsid w:val="009124B4"/>
    <w:rsid w:val="00912A19"/>
    <w:rsid w:val="009132A0"/>
    <w:rsid w:val="009133C3"/>
    <w:rsid w:val="009159AE"/>
    <w:rsid w:val="00921354"/>
    <w:rsid w:val="00921AB2"/>
    <w:rsid w:val="00926234"/>
    <w:rsid w:val="009262BA"/>
    <w:rsid w:val="00927FC8"/>
    <w:rsid w:val="00931932"/>
    <w:rsid w:val="00943ECB"/>
    <w:rsid w:val="00946609"/>
    <w:rsid w:val="00950545"/>
    <w:rsid w:val="00956225"/>
    <w:rsid w:val="00956F47"/>
    <w:rsid w:val="00960168"/>
    <w:rsid w:val="0096151F"/>
    <w:rsid w:val="009615D9"/>
    <w:rsid w:val="00962F6A"/>
    <w:rsid w:val="00966484"/>
    <w:rsid w:val="00966BBA"/>
    <w:rsid w:val="00972245"/>
    <w:rsid w:val="00972379"/>
    <w:rsid w:val="00974455"/>
    <w:rsid w:val="009750E5"/>
    <w:rsid w:val="00976FAE"/>
    <w:rsid w:val="009774BC"/>
    <w:rsid w:val="00977C71"/>
    <w:rsid w:val="00980BAB"/>
    <w:rsid w:val="00982438"/>
    <w:rsid w:val="00982DBC"/>
    <w:rsid w:val="00984D87"/>
    <w:rsid w:val="00986E7B"/>
    <w:rsid w:val="009941E1"/>
    <w:rsid w:val="00994CFB"/>
    <w:rsid w:val="009A5B26"/>
    <w:rsid w:val="009A5F2D"/>
    <w:rsid w:val="009A6F17"/>
    <w:rsid w:val="009A76F9"/>
    <w:rsid w:val="009B380F"/>
    <w:rsid w:val="009B3962"/>
    <w:rsid w:val="009C2A15"/>
    <w:rsid w:val="009C5C3A"/>
    <w:rsid w:val="009C6442"/>
    <w:rsid w:val="009C79C2"/>
    <w:rsid w:val="009D045D"/>
    <w:rsid w:val="009D249C"/>
    <w:rsid w:val="009D3C9F"/>
    <w:rsid w:val="009E0F83"/>
    <w:rsid w:val="009E18A2"/>
    <w:rsid w:val="009E3A31"/>
    <w:rsid w:val="009E3BDF"/>
    <w:rsid w:val="009E6547"/>
    <w:rsid w:val="009F2A14"/>
    <w:rsid w:val="009F42BF"/>
    <w:rsid w:val="009F4FE6"/>
    <w:rsid w:val="009F4FF0"/>
    <w:rsid w:val="009F71FE"/>
    <w:rsid w:val="00A005D5"/>
    <w:rsid w:val="00A02EFD"/>
    <w:rsid w:val="00A03760"/>
    <w:rsid w:val="00A04D4D"/>
    <w:rsid w:val="00A1051C"/>
    <w:rsid w:val="00A14090"/>
    <w:rsid w:val="00A2007B"/>
    <w:rsid w:val="00A21068"/>
    <w:rsid w:val="00A21CA2"/>
    <w:rsid w:val="00A22A78"/>
    <w:rsid w:val="00A23A07"/>
    <w:rsid w:val="00A267F2"/>
    <w:rsid w:val="00A325AA"/>
    <w:rsid w:val="00A4058F"/>
    <w:rsid w:val="00A42E52"/>
    <w:rsid w:val="00A45ED1"/>
    <w:rsid w:val="00A46240"/>
    <w:rsid w:val="00A51927"/>
    <w:rsid w:val="00A51C16"/>
    <w:rsid w:val="00A52DBB"/>
    <w:rsid w:val="00A53D7D"/>
    <w:rsid w:val="00A54061"/>
    <w:rsid w:val="00A553C4"/>
    <w:rsid w:val="00A574B0"/>
    <w:rsid w:val="00A61897"/>
    <w:rsid w:val="00A62303"/>
    <w:rsid w:val="00A65ACF"/>
    <w:rsid w:val="00A6642D"/>
    <w:rsid w:val="00A740D4"/>
    <w:rsid w:val="00A769AE"/>
    <w:rsid w:val="00A8048A"/>
    <w:rsid w:val="00A84C5A"/>
    <w:rsid w:val="00A84E28"/>
    <w:rsid w:val="00A85469"/>
    <w:rsid w:val="00A85AF3"/>
    <w:rsid w:val="00A93000"/>
    <w:rsid w:val="00A9535F"/>
    <w:rsid w:val="00A96312"/>
    <w:rsid w:val="00A96DD8"/>
    <w:rsid w:val="00A97427"/>
    <w:rsid w:val="00AA05DF"/>
    <w:rsid w:val="00AA1351"/>
    <w:rsid w:val="00AA1EDB"/>
    <w:rsid w:val="00AA3840"/>
    <w:rsid w:val="00AA3AE7"/>
    <w:rsid w:val="00AA3D2F"/>
    <w:rsid w:val="00AA4173"/>
    <w:rsid w:val="00AA4740"/>
    <w:rsid w:val="00AA5461"/>
    <w:rsid w:val="00AB014E"/>
    <w:rsid w:val="00AB4A3E"/>
    <w:rsid w:val="00AB6C61"/>
    <w:rsid w:val="00AC230F"/>
    <w:rsid w:val="00AC395C"/>
    <w:rsid w:val="00AD05FC"/>
    <w:rsid w:val="00AD1407"/>
    <w:rsid w:val="00AD57FC"/>
    <w:rsid w:val="00AD5DE8"/>
    <w:rsid w:val="00AD6229"/>
    <w:rsid w:val="00AD77F9"/>
    <w:rsid w:val="00AD77FA"/>
    <w:rsid w:val="00AE00C2"/>
    <w:rsid w:val="00AE0985"/>
    <w:rsid w:val="00AE1682"/>
    <w:rsid w:val="00AE291D"/>
    <w:rsid w:val="00AE3623"/>
    <w:rsid w:val="00AE5B70"/>
    <w:rsid w:val="00AF0A2C"/>
    <w:rsid w:val="00AF1299"/>
    <w:rsid w:val="00AF1470"/>
    <w:rsid w:val="00AF357F"/>
    <w:rsid w:val="00AF35C6"/>
    <w:rsid w:val="00AF47EF"/>
    <w:rsid w:val="00AF56D3"/>
    <w:rsid w:val="00B0016F"/>
    <w:rsid w:val="00B001C7"/>
    <w:rsid w:val="00B0247E"/>
    <w:rsid w:val="00B04191"/>
    <w:rsid w:val="00B125ED"/>
    <w:rsid w:val="00B131EC"/>
    <w:rsid w:val="00B13931"/>
    <w:rsid w:val="00B13BD0"/>
    <w:rsid w:val="00B15C2C"/>
    <w:rsid w:val="00B17D9B"/>
    <w:rsid w:val="00B224CE"/>
    <w:rsid w:val="00B25B1E"/>
    <w:rsid w:val="00B26A50"/>
    <w:rsid w:val="00B3245F"/>
    <w:rsid w:val="00B32871"/>
    <w:rsid w:val="00B42020"/>
    <w:rsid w:val="00B4792E"/>
    <w:rsid w:val="00B51890"/>
    <w:rsid w:val="00B5373B"/>
    <w:rsid w:val="00B53C87"/>
    <w:rsid w:val="00B662D0"/>
    <w:rsid w:val="00B764A8"/>
    <w:rsid w:val="00B81AC1"/>
    <w:rsid w:val="00B82FB4"/>
    <w:rsid w:val="00B83944"/>
    <w:rsid w:val="00B850F0"/>
    <w:rsid w:val="00B85485"/>
    <w:rsid w:val="00B86178"/>
    <w:rsid w:val="00B86868"/>
    <w:rsid w:val="00B9074C"/>
    <w:rsid w:val="00B91837"/>
    <w:rsid w:val="00B92F8C"/>
    <w:rsid w:val="00B93A6D"/>
    <w:rsid w:val="00B94E6B"/>
    <w:rsid w:val="00B95D91"/>
    <w:rsid w:val="00B96F91"/>
    <w:rsid w:val="00BA0061"/>
    <w:rsid w:val="00BA2EF6"/>
    <w:rsid w:val="00BA4CF4"/>
    <w:rsid w:val="00BA56E4"/>
    <w:rsid w:val="00BA676C"/>
    <w:rsid w:val="00BB24DC"/>
    <w:rsid w:val="00BB3274"/>
    <w:rsid w:val="00BB57EE"/>
    <w:rsid w:val="00BC0020"/>
    <w:rsid w:val="00BC197B"/>
    <w:rsid w:val="00BC2350"/>
    <w:rsid w:val="00BC531A"/>
    <w:rsid w:val="00BC6416"/>
    <w:rsid w:val="00BD0673"/>
    <w:rsid w:val="00BD5200"/>
    <w:rsid w:val="00BD5C3D"/>
    <w:rsid w:val="00BE093A"/>
    <w:rsid w:val="00BE4420"/>
    <w:rsid w:val="00BE4A8C"/>
    <w:rsid w:val="00BF0E4A"/>
    <w:rsid w:val="00BF264F"/>
    <w:rsid w:val="00BF356B"/>
    <w:rsid w:val="00BF3761"/>
    <w:rsid w:val="00BF5EBD"/>
    <w:rsid w:val="00BF6453"/>
    <w:rsid w:val="00BF6A30"/>
    <w:rsid w:val="00C00727"/>
    <w:rsid w:val="00C01E82"/>
    <w:rsid w:val="00C07A31"/>
    <w:rsid w:val="00C1094D"/>
    <w:rsid w:val="00C14C0A"/>
    <w:rsid w:val="00C16077"/>
    <w:rsid w:val="00C16160"/>
    <w:rsid w:val="00C2033C"/>
    <w:rsid w:val="00C247E1"/>
    <w:rsid w:val="00C264FA"/>
    <w:rsid w:val="00C27A66"/>
    <w:rsid w:val="00C33CD5"/>
    <w:rsid w:val="00C33D9C"/>
    <w:rsid w:val="00C34DF0"/>
    <w:rsid w:val="00C35FBB"/>
    <w:rsid w:val="00C3616E"/>
    <w:rsid w:val="00C3711E"/>
    <w:rsid w:val="00C40600"/>
    <w:rsid w:val="00C40C80"/>
    <w:rsid w:val="00C45943"/>
    <w:rsid w:val="00C45EA5"/>
    <w:rsid w:val="00C55E85"/>
    <w:rsid w:val="00C60439"/>
    <w:rsid w:val="00C61C05"/>
    <w:rsid w:val="00C6224A"/>
    <w:rsid w:val="00C63DF3"/>
    <w:rsid w:val="00C641F1"/>
    <w:rsid w:val="00C64693"/>
    <w:rsid w:val="00C65381"/>
    <w:rsid w:val="00C65490"/>
    <w:rsid w:val="00C733E8"/>
    <w:rsid w:val="00C74462"/>
    <w:rsid w:val="00C7659D"/>
    <w:rsid w:val="00C77A61"/>
    <w:rsid w:val="00C77ED3"/>
    <w:rsid w:val="00C80942"/>
    <w:rsid w:val="00C81A7A"/>
    <w:rsid w:val="00C82C6D"/>
    <w:rsid w:val="00C82DD0"/>
    <w:rsid w:val="00C8342E"/>
    <w:rsid w:val="00C848D9"/>
    <w:rsid w:val="00C91404"/>
    <w:rsid w:val="00C93723"/>
    <w:rsid w:val="00C93FED"/>
    <w:rsid w:val="00C95ED2"/>
    <w:rsid w:val="00CA1403"/>
    <w:rsid w:val="00CA15F1"/>
    <w:rsid w:val="00CA1841"/>
    <w:rsid w:val="00CA5CF7"/>
    <w:rsid w:val="00CA68FB"/>
    <w:rsid w:val="00CA6D76"/>
    <w:rsid w:val="00CA6E3D"/>
    <w:rsid w:val="00CB2027"/>
    <w:rsid w:val="00CB2FA6"/>
    <w:rsid w:val="00CB636F"/>
    <w:rsid w:val="00CC034A"/>
    <w:rsid w:val="00CC0395"/>
    <w:rsid w:val="00CC3593"/>
    <w:rsid w:val="00CC4AC6"/>
    <w:rsid w:val="00CC58BC"/>
    <w:rsid w:val="00CC5CE6"/>
    <w:rsid w:val="00CD00FB"/>
    <w:rsid w:val="00CD1A62"/>
    <w:rsid w:val="00CD233E"/>
    <w:rsid w:val="00CD43A8"/>
    <w:rsid w:val="00CD5E69"/>
    <w:rsid w:val="00CD6CF1"/>
    <w:rsid w:val="00CE2E4A"/>
    <w:rsid w:val="00CF22C4"/>
    <w:rsid w:val="00CF2C5D"/>
    <w:rsid w:val="00CF2CB5"/>
    <w:rsid w:val="00CF35C0"/>
    <w:rsid w:val="00D022B9"/>
    <w:rsid w:val="00D029CA"/>
    <w:rsid w:val="00D04B08"/>
    <w:rsid w:val="00D06ABC"/>
    <w:rsid w:val="00D12540"/>
    <w:rsid w:val="00D14CB7"/>
    <w:rsid w:val="00D14ED1"/>
    <w:rsid w:val="00D164B5"/>
    <w:rsid w:val="00D21388"/>
    <w:rsid w:val="00D2397B"/>
    <w:rsid w:val="00D328BD"/>
    <w:rsid w:val="00D3618C"/>
    <w:rsid w:val="00D45215"/>
    <w:rsid w:val="00D45FCC"/>
    <w:rsid w:val="00D47635"/>
    <w:rsid w:val="00D511C8"/>
    <w:rsid w:val="00D52D32"/>
    <w:rsid w:val="00D5537D"/>
    <w:rsid w:val="00D55817"/>
    <w:rsid w:val="00D56744"/>
    <w:rsid w:val="00D56DF5"/>
    <w:rsid w:val="00D64A03"/>
    <w:rsid w:val="00D65DC8"/>
    <w:rsid w:val="00D67EF5"/>
    <w:rsid w:val="00D7094F"/>
    <w:rsid w:val="00D72AF8"/>
    <w:rsid w:val="00D75415"/>
    <w:rsid w:val="00D75846"/>
    <w:rsid w:val="00D76582"/>
    <w:rsid w:val="00D80D11"/>
    <w:rsid w:val="00D83B82"/>
    <w:rsid w:val="00D85C55"/>
    <w:rsid w:val="00D873D4"/>
    <w:rsid w:val="00D9132F"/>
    <w:rsid w:val="00D9480D"/>
    <w:rsid w:val="00DA6330"/>
    <w:rsid w:val="00DC3BA3"/>
    <w:rsid w:val="00DC52F6"/>
    <w:rsid w:val="00DC6F9F"/>
    <w:rsid w:val="00DC7B93"/>
    <w:rsid w:val="00DD26FB"/>
    <w:rsid w:val="00DD3991"/>
    <w:rsid w:val="00DD4EA2"/>
    <w:rsid w:val="00DE0384"/>
    <w:rsid w:val="00DE0B38"/>
    <w:rsid w:val="00DE2AB2"/>
    <w:rsid w:val="00DE333D"/>
    <w:rsid w:val="00DE5389"/>
    <w:rsid w:val="00DF66C7"/>
    <w:rsid w:val="00DF7F93"/>
    <w:rsid w:val="00E03394"/>
    <w:rsid w:val="00E048CB"/>
    <w:rsid w:val="00E06335"/>
    <w:rsid w:val="00E1069B"/>
    <w:rsid w:val="00E11279"/>
    <w:rsid w:val="00E12384"/>
    <w:rsid w:val="00E1241C"/>
    <w:rsid w:val="00E141E1"/>
    <w:rsid w:val="00E1616B"/>
    <w:rsid w:val="00E1758E"/>
    <w:rsid w:val="00E218F9"/>
    <w:rsid w:val="00E22ECC"/>
    <w:rsid w:val="00E255CF"/>
    <w:rsid w:val="00E26DD8"/>
    <w:rsid w:val="00E30F91"/>
    <w:rsid w:val="00E3249B"/>
    <w:rsid w:val="00E349F5"/>
    <w:rsid w:val="00E35545"/>
    <w:rsid w:val="00E36D70"/>
    <w:rsid w:val="00E40E62"/>
    <w:rsid w:val="00E45902"/>
    <w:rsid w:val="00E5143B"/>
    <w:rsid w:val="00E539FE"/>
    <w:rsid w:val="00E541DD"/>
    <w:rsid w:val="00E54B1D"/>
    <w:rsid w:val="00E55D16"/>
    <w:rsid w:val="00E56C14"/>
    <w:rsid w:val="00E578A3"/>
    <w:rsid w:val="00E60720"/>
    <w:rsid w:val="00E613CA"/>
    <w:rsid w:val="00E6319B"/>
    <w:rsid w:val="00E63DDA"/>
    <w:rsid w:val="00E63E81"/>
    <w:rsid w:val="00E6471E"/>
    <w:rsid w:val="00E652B1"/>
    <w:rsid w:val="00E669D0"/>
    <w:rsid w:val="00E73516"/>
    <w:rsid w:val="00E77AA8"/>
    <w:rsid w:val="00E77DCD"/>
    <w:rsid w:val="00E8074B"/>
    <w:rsid w:val="00E83EC8"/>
    <w:rsid w:val="00E85D33"/>
    <w:rsid w:val="00E86A00"/>
    <w:rsid w:val="00E91FB5"/>
    <w:rsid w:val="00E965D7"/>
    <w:rsid w:val="00E9788B"/>
    <w:rsid w:val="00EA169D"/>
    <w:rsid w:val="00EA2CEF"/>
    <w:rsid w:val="00EA4E8C"/>
    <w:rsid w:val="00EA5AA1"/>
    <w:rsid w:val="00EB36BA"/>
    <w:rsid w:val="00EB6261"/>
    <w:rsid w:val="00EC04CB"/>
    <w:rsid w:val="00EC5CF6"/>
    <w:rsid w:val="00EC6059"/>
    <w:rsid w:val="00EC721B"/>
    <w:rsid w:val="00EC765E"/>
    <w:rsid w:val="00ED0203"/>
    <w:rsid w:val="00ED0DB9"/>
    <w:rsid w:val="00ED43D4"/>
    <w:rsid w:val="00ED5D82"/>
    <w:rsid w:val="00ED5ECF"/>
    <w:rsid w:val="00ED6BAD"/>
    <w:rsid w:val="00EE1D24"/>
    <w:rsid w:val="00EE3A11"/>
    <w:rsid w:val="00EE3C8C"/>
    <w:rsid w:val="00EE5846"/>
    <w:rsid w:val="00EE7A58"/>
    <w:rsid w:val="00EE7DDB"/>
    <w:rsid w:val="00EF258D"/>
    <w:rsid w:val="00EF28A6"/>
    <w:rsid w:val="00EF2EF4"/>
    <w:rsid w:val="00EF4BE0"/>
    <w:rsid w:val="00EF4D5C"/>
    <w:rsid w:val="00EF5042"/>
    <w:rsid w:val="00F01A5B"/>
    <w:rsid w:val="00F03B8A"/>
    <w:rsid w:val="00F03F08"/>
    <w:rsid w:val="00F04867"/>
    <w:rsid w:val="00F05340"/>
    <w:rsid w:val="00F05F2E"/>
    <w:rsid w:val="00F06DC0"/>
    <w:rsid w:val="00F10B36"/>
    <w:rsid w:val="00F12BAD"/>
    <w:rsid w:val="00F13452"/>
    <w:rsid w:val="00F1687A"/>
    <w:rsid w:val="00F17281"/>
    <w:rsid w:val="00F2139C"/>
    <w:rsid w:val="00F23CCD"/>
    <w:rsid w:val="00F264EB"/>
    <w:rsid w:val="00F31AEA"/>
    <w:rsid w:val="00F3492D"/>
    <w:rsid w:val="00F3706D"/>
    <w:rsid w:val="00F37095"/>
    <w:rsid w:val="00F40F20"/>
    <w:rsid w:val="00F43B99"/>
    <w:rsid w:val="00F44B5D"/>
    <w:rsid w:val="00F506D9"/>
    <w:rsid w:val="00F50BEC"/>
    <w:rsid w:val="00F51A62"/>
    <w:rsid w:val="00F51F64"/>
    <w:rsid w:val="00F55F41"/>
    <w:rsid w:val="00F56137"/>
    <w:rsid w:val="00F5669E"/>
    <w:rsid w:val="00F62548"/>
    <w:rsid w:val="00F635DD"/>
    <w:rsid w:val="00F63960"/>
    <w:rsid w:val="00F6458A"/>
    <w:rsid w:val="00F64D0D"/>
    <w:rsid w:val="00F65A03"/>
    <w:rsid w:val="00F66262"/>
    <w:rsid w:val="00F7131F"/>
    <w:rsid w:val="00F727C1"/>
    <w:rsid w:val="00F7336A"/>
    <w:rsid w:val="00F738EF"/>
    <w:rsid w:val="00F7449F"/>
    <w:rsid w:val="00F74AEF"/>
    <w:rsid w:val="00F81210"/>
    <w:rsid w:val="00F87D8C"/>
    <w:rsid w:val="00F917EA"/>
    <w:rsid w:val="00FA02C1"/>
    <w:rsid w:val="00FA65B6"/>
    <w:rsid w:val="00FB02FC"/>
    <w:rsid w:val="00FB0BB3"/>
    <w:rsid w:val="00FB0D99"/>
    <w:rsid w:val="00FC1293"/>
    <w:rsid w:val="00FC3E13"/>
    <w:rsid w:val="00FC6AA9"/>
    <w:rsid w:val="00FD3AF9"/>
    <w:rsid w:val="00FD5036"/>
    <w:rsid w:val="00FD7281"/>
    <w:rsid w:val="00FE1455"/>
    <w:rsid w:val="00FE3837"/>
    <w:rsid w:val="00FE3D30"/>
    <w:rsid w:val="00FE4560"/>
    <w:rsid w:val="00FF088D"/>
    <w:rsid w:val="00FF0EE1"/>
    <w:rsid w:val="00FF2874"/>
    <w:rsid w:val="00FF2E1E"/>
    <w:rsid w:val="00FF643F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5EE9F"/>
  <w15:chartTrackingRefBased/>
  <w15:docId w15:val="{F14FE0C5-E37A-4B7D-8CA3-4D2180B7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0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13"/>
  </w:style>
  <w:style w:type="paragraph" w:styleId="Footer">
    <w:name w:val="footer"/>
    <w:basedOn w:val="Normal"/>
    <w:link w:val="FooterChar"/>
    <w:uiPriority w:val="99"/>
    <w:unhideWhenUsed/>
    <w:rsid w:val="001E3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13"/>
  </w:style>
  <w:style w:type="paragraph" w:styleId="BalloonText">
    <w:name w:val="Balloon Text"/>
    <w:basedOn w:val="Normal"/>
    <w:link w:val="BalloonTextChar"/>
    <w:uiPriority w:val="99"/>
    <w:semiHidden/>
    <w:unhideWhenUsed/>
    <w:rsid w:val="00381E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16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B1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31684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059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5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5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54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5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5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5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7446">
          <w:marLeft w:val="0"/>
          <w:marRight w:val="0"/>
          <w:marTop w:val="0"/>
          <w:marBottom w:val="0"/>
          <w:divBdr>
            <w:top w:val="single" w:sz="2" w:space="4" w:color="FF0000"/>
            <w:left w:val="single" w:sz="2" w:space="4" w:color="FF0000"/>
            <w:bottom w:val="single" w:sz="2" w:space="4" w:color="FF0000"/>
            <w:right w:val="single" w:sz="2" w:space="4" w:color="FF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8EC2-A38B-4DB7-9F7F-187CFCCBC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5007</Words>
  <Characters>28546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Čuljković</dc:creator>
  <cp:keywords/>
  <dc:description/>
  <cp:lastModifiedBy>Nikola Pavić</cp:lastModifiedBy>
  <cp:revision>2</cp:revision>
  <cp:lastPrinted>2025-06-24T08:53:00Z</cp:lastPrinted>
  <dcterms:created xsi:type="dcterms:W3CDTF">2025-09-15T07:58:00Z</dcterms:created>
  <dcterms:modified xsi:type="dcterms:W3CDTF">2025-09-15T07:58:00Z</dcterms:modified>
</cp:coreProperties>
</file>